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85" w:type="dxa"/>
        <w:tblCellMar>
          <w:top w:w="29" w:type="dxa"/>
          <w:left w:w="115" w:type="dxa"/>
          <w:bottom w:w="29" w:type="dxa"/>
          <w:right w:w="115" w:type="dxa"/>
        </w:tblCellMar>
        <w:tblLook w:val="00A0" w:firstRow="1" w:lastRow="0" w:firstColumn="1" w:lastColumn="0" w:noHBand="0" w:noVBand="0"/>
      </w:tblPr>
      <w:tblGrid>
        <w:gridCol w:w="2963"/>
        <w:gridCol w:w="8107"/>
      </w:tblGrid>
      <w:tr w:rsidR="00A80E36" w14:paraId="36DA6467" w14:textId="77777777">
        <w:trPr>
          <w:cantSplit/>
          <w:trHeight w:val="602"/>
          <w:tblHeader/>
        </w:trPr>
        <w:tc>
          <w:tcPr>
            <w:tcW w:w="2963" w:type="dxa"/>
            <w:tcBorders>
              <w:bottom w:val="single" w:sz="4" w:space="0" w:color="000000" w:themeColor="text1"/>
            </w:tcBorders>
            <w:shd w:val="clear" w:color="auto" w:fill="004080"/>
            <w:vAlign w:val="center"/>
          </w:tcPr>
          <w:p w14:paraId="43F06DBB" w14:textId="77777777" w:rsidR="00A80E36" w:rsidRPr="00095CAB" w:rsidRDefault="00A80E36" w:rsidP="00095CAB">
            <w:pPr>
              <w:jc w:val="center"/>
              <w:rPr>
                <w:b/>
                <w:color w:val="FFFFFF" w:themeColor="background1"/>
              </w:rPr>
            </w:pPr>
            <w:r w:rsidRPr="00095CAB">
              <w:rPr>
                <w:b/>
                <w:color w:val="FFFFFF" w:themeColor="background1"/>
              </w:rPr>
              <w:t>COMPONENT</w:t>
            </w:r>
            <w:r>
              <w:rPr>
                <w:b/>
                <w:color w:val="FFFFFF" w:themeColor="background1"/>
              </w:rPr>
              <w:t>S</w:t>
            </w:r>
          </w:p>
        </w:tc>
        <w:tc>
          <w:tcPr>
            <w:tcW w:w="8107" w:type="dxa"/>
            <w:tcBorders>
              <w:bottom w:val="single" w:sz="4" w:space="0" w:color="000000" w:themeColor="text1"/>
            </w:tcBorders>
            <w:shd w:val="clear" w:color="auto" w:fill="004080"/>
            <w:vAlign w:val="center"/>
          </w:tcPr>
          <w:p w14:paraId="79AE82BC" w14:textId="77777777" w:rsidR="00A80E36" w:rsidRPr="00095CAB" w:rsidRDefault="009E2509" w:rsidP="005C01A7">
            <w:pPr>
              <w:jc w:val="center"/>
              <w:rPr>
                <w:b/>
                <w:color w:val="FFFFFF" w:themeColor="background1"/>
              </w:rPr>
            </w:pPr>
            <w:r>
              <w:rPr>
                <w:b/>
                <w:color w:val="FFFFFF" w:themeColor="background1"/>
              </w:rPr>
              <w:t>EVIDENCE EXAMPLES</w:t>
            </w:r>
          </w:p>
        </w:tc>
      </w:tr>
      <w:tr w:rsidR="00A80E36" w14:paraId="15F2E077" w14:textId="77777777" w:rsidTr="00821981">
        <w:trPr>
          <w:cantSplit/>
          <w:trHeight w:val="89"/>
          <w:tblHeader/>
        </w:trPr>
        <w:tc>
          <w:tcPr>
            <w:tcW w:w="2963" w:type="dxa"/>
            <w:tcBorders>
              <w:bottom w:val="single" w:sz="4" w:space="0" w:color="000000" w:themeColor="text1"/>
            </w:tcBorders>
            <w:shd w:val="clear" w:color="auto" w:fill="C0C0C0"/>
            <w:vAlign w:val="center"/>
          </w:tcPr>
          <w:p w14:paraId="734A91DD" w14:textId="77777777" w:rsidR="00A80E36" w:rsidRPr="00A80E36" w:rsidRDefault="00A80E36" w:rsidP="00095CAB">
            <w:pPr>
              <w:jc w:val="center"/>
              <w:rPr>
                <w:color w:val="FFFFFF" w:themeColor="background1"/>
                <w:sz w:val="16"/>
              </w:rPr>
            </w:pPr>
          </w:p>
        </w:tc>
        <w:tc>
          <w:tcPr>
            <w:tcW w:w="8107" w:type="dxa"/>
            <w:tcBorders>
              <w:bottom w:val="single" w:sz="4" w:space="0" w:color="000000" w:themeColor="text1"/>
            </w:tcBorders>
            <w:shd w:val="clear" w:color="auto" w:fill="C0C0C0"/>
            <w:vAlign w:val="center"/>
          </w:tcPr>
          <w:p w14:paraId="0ECAD24F" w14:textId="77777777" w:rsidR="00A80E36" w:rsidRPr="00A80E36" w:rsidRDefault="00A80E36" w:rsidP="00095CAB">
            <w:pPr>
              <w:jc w:val="center"/>
              <w:rPr>
                <w:color w:val="FFFFFF" w:themeColor="background1"/>
                <w:sz w:val="16"/>
              </w:rPr>
            </w:pPr>
          </w:p>
        </w:tc>
      </w:tr>
      <w:tr w:rsidR="00DC6FB3" w14:paraId="0D9A69F9" w14:textId="77777777" w:rsidTr="00821981">
        <w:trPr>
          <w:cantSplit/>
          <w:trHeight w:val="809"/>
        </w:trPr>
        <w:tc>
          <w:tcPr>
            <w:tcW w:w="2963" w:type="dxa"/>
            <w:shd w:val="clear" w:color="auto" w:fill="FFFFE4"/>
          </w:tcPr>
          <w:p w14:paraId="2199FED0" w14:textId="77777777" w:rsidR="003E5D23" w:rsidRDefault="003E5D23" w:rsidP="003E5D23">
            <w:pPr>
              <w:jc w:val="right"/>
              <w:rPr>
                <w:sz w:val="22"/>
              </w:rPr>
            </w:pPr>
            <w:r w:rsidRPr="00A46538">
              <w:rPr>
                <w:i/>
                <w:sz w:val="12"/>
                <w:bdr w:val="single" w:sz="4" w:space="0" w:color="auto"/>
              </w:rPr>
              <w:t>Instructional</w:t>
            </w:r>
          </w:p>
          <w:p w14:paraId="13A8E9BC" w14:textId="3E802535" w:rsidR="00DC6FB3" w:rsidRPr="00821981" w:rsidRDefault="009A3C57" w:rsidP="003E5D23">
            <w:pPr>
              <w:rPr>
                <w:sz w:val="22"/>
              </w:rPr>
            </w:pPr>
            <w:r>
              <w:rPr>
                <w:sz w:val="22"/>
              </w:rPr>
              <w:t>1.</w:t>
            </w:r>
            <w:r w:rsidR="00DC6FB3" w:rsidRPr="00A80E36">
              <w:rPr>
                <w:sz w:val="22"/>
              </w:rPr>
              <w:t xml:space="preserve"> Catch-up courses</w:t>
            </w:r>
          </w:p>
        </w:tc>
        <w:tc>
          <w:tcPr>
            <w:tcW w:w="8107" w:type="dxa"/>
            <w:shd w:val="clear" w:color="auto" w:fill="FFFFE4"/>
            <w:tcMar>
              <w:top w:w="43" w:type="dxa"/>
              <w:bottom w:w="43" w:type="dxa"/>
            </w:tcMar>
            <w:vAlign w:val="center"/>
          </w:tcPr>
          <w:p w14:paraId="521B9AF3" w14:textId="77777777" w:rsidR="00DC6FB3" w:rsidRDefault="00DC6FB3" w:rsidP="00890BAB">
            <w:pPr>
              <w:spacing w:after="120"/>
              <w:ind w:left="144" w:hanging="144"/>
              <w:rPr>
                <w:sz w:val="22"/>
              </w:rPr>
            </w:pPr>
            <w:r w:rsidRPr="00D111DB">
              <w:rPr>
                <w:b/>
                <w:i/>
                <w:sz w:val="22"/>
              </w:rPr>
              <w:t xml:space="preserve">Implementation: </w:t>
            </w:r>
            <w:r w:rsidR="0052575E">
              <w:rPr>
                <w:sz w:val="22"/>
              </w:rPr>
              <w:t>Updated disaggregated course enrollment</w:t>
            </w:r>
            <w:r w:rsidR="00F05217">
              <w:rPr>
                <w:sz w:val="22"/>
              </w:rPr>
              <w:t>,</w:t>
            </w:r>
            <w:r>
              <w:rPr>
                <w:sz w:val="22"/>
              </w:rPr>
              <w:t xml:space="preserve"> attendance, and walkthrough data</w:t>
            </w:r>
          </w:p>
          <w:p w14:paraId="08144B53" w14:textId="77777777" w:rsidR="00DC6FB3" w:rsidRPr="00A80E36" w:rsidRDefault="00DC6FB3">
            <w:pPr>
              <w:ind w:left="144" w:hanging="144"/>
              <w:rPr>
                <w:sz w:val="22"/>
              </w:rPr>
            </w:pPr>
            <w:r w:rsidRPr="00D111DB">
              <w:rPr>
                <w:b/>
                <w:i/>
                <w:sz w:val="22"/>
              </w:rPr>
              <w:t>Impact:</w:t>
            </w:r>
            <w:r>
              <w:rPr>
                <w:sz w:val="22"/>
              </w:rPr>
              <w:t xml:space="preserve"> </w:t>
            </w:r>
            <w:r w:rsidR="00006A06">
              <w:rPr>
                <w:sz w:val="22"/>
              </w:rPr>
              <w:t xml:space="preserve">Disaggregated </w:t>
            </w:r>
            <w:r>
              <w:rPr>
                <w:sz w:val="22"/>
              </w:rPr>
              <w:t>grades or benchmark scores—depending on the objectives—and student and staff survey data</w:t>
            </w:r>
            <w:r w:rsidR="00006A06">
              <w:rPr>
                <w:sz w:val="22"/>
              </w:rPr>
              <w:t xml:space="preserve"> each grading period</w:t>
            </w:r>
          </w:p>
        </w:tc>
      </w:tr>
      <w:tr w:rsidR="00DC6FB3" w14:paraId="0932C334" w14:textId="77777777" w:rsidTr="00821981">
        <w:trPr>
          <w:cantSplit/>
          <w:trHeight w:val="809"/>
        </w:trPr>
        <w:tc>
          <w:tcPr>
            <w:tcW w:w="2963" w:type="dxa"/>
            <w:shd w:val="clear" w:color="auto" w:fill="FFFFE4"/>
          </w:tcPr>
          <w:p w14:paraId="77E03F7C" w14:textId="77777777" w:rsidR="003E5D23" w:rsidRDefault="003E5D23" w:rsidP="003E5D23">
            <w:pPr>
              <w:ind w:left="144" w:hanging="144"/>
              <w:jc w:val="right"/>
              <w:rPr>
                <w:sz w:val="22"/>
              </w:rPr>
            </w:pPr>
            <w:r w:rsidRPr="003E5D23">
              <w:rPr>
                <w:i/>
                <w:sz w:val="12"/>
                <w:bdr w:val="single" w:sz="4" w:space="0" w:color="auto"/>
              </w:rPr>
              <w:t>Instructional</w:t>
            </w:r>
            <w:r>
              <w:rPr>
                <w:sz w:val="22"/>
              </w:rPr>
              <w:t xml:space="preserve"> </w:t>
            </w:r>
          </w:p>
          <w:p w14:paraId="70F06391" w14:textId="77777777" w:rsidR="009A3C57" w:rsidRDefault="009A3C57" w:rsidP="009A3C57">
            <w:pPr>
              <w:ind w:left="144" w:hanging="144"/>
              <w:rPr>
                <w:sz w:val="22"/>
              </w:rPr>
            </w:pPr>
            <w:r>
              <w:rPr>
                <w:sz w:val="22"/>
              </w:rPr>
              <w:t xml:space="preserve">2. </w:t>
            </w:r>
            <w:r w:rsidR="00DC6FB3" w:rsidRPr="00A80E36">
              <w:rPr>
                <w:sz w:val="22"/>
              </w:rPr>
              <w:t xml:space="preserve">Equal access to rigorous </w:t>
            </w:r>
            <w:r w:rsidR="00DC6FB3">
              <w:rPr>
                <w:sz w:val="22"/>
              </w:rPr>
              <w:t>coursework</w:t>
            </w:r>
          </w:p>
          <w:p w14:paraId="5128A4B1" w14:textId="77777777" w:rsidR="00DC6FB3" w:rsidRPr="00A80E36" w:rsidRDefault="00DC6FB3" w:rsidP="009A3C57">
            <w:pPr>
              <w:ind w:left="432" w:hanging="432"/>
              <w:jc w:val="right"/>
              <w:rPr>
                <w:sz w:val="22"/>
              </w:rPr>
            </w:pPr>
          </w:p>
        </w:tc>
        <w:tc>
          <w:tcPr>
            <w:tcW w:w="8107" w:type="dxa"/>
            <w:shd w:val="clear" w:color="auto" w:fill="FFFFE4"/>
            <w:tcMar>
              <w:top w:w="43" w:type="dxa"/>
              <w:bottom w:w="43" w:type="dxa"/>
            </w:tcMar>
            <w:vAlign w:val="center"/>
          </w:tcPr>
          <w:p w14:paraId="1F42ED40" w14:textId="77777777" w:rsidR="00DC6FB3" w:rsidRDefault="00DC6FB3" w:rsidP="00890BAB">
            <w:pPr>
              <w:spacing w:after="120"/>
              <w:ind w:left="144" w:hanging="144"/>
              <w:rPr>
                <w:sz w:val="22"/>
              </w:rPr>
            </w:pPr>
            <w:r w:rsidRPr="00080DEB">
              <w:rPr>
                <w:b/>
                <w:i/>
                <w:sz w:val="22"/>
              </w:rPr>
              <w:t>Implementation:</w:t>
            </w:r>
            <w:r>
              <w:rPr>
                <w:sz w:val="22"/>
              </w:rPr>
              <w:t xml:space="preserve"> </w:t>
            </w:r>
            <w:r w:rsidR="00F05217">
              <w:rPr>
                <w:sz w:val="22"/>
              </w:rPr>
              <w:t>Updated q</w:t>
            </w:r>
            <w:r w:rsidR="003A75E2">
              <w:rPr>
                <w:sz w:val="22"/>
              </w:rPr>
              <w:t>uarterly</w:t>
            </w:r>
            <w:r w:rsidR="00F05217">
              <w:rPr>
                <w:sz w:val="22"/>
              </w:rPr>
              <w:t xml:space="preserve"> disaggregated</w:t>
            </w:r>
            <w:r w:rsidR="003A75E2">
              <w:rPr>
                <w:sz w:val="22"/>
              </w:rPr>
              <w:t xml:space="preserve"> AP enrollment data, </w:t>
            </w:r>
            <w:r w:rsidR="001E2FB2">
              <w:rPr>
                <w:sz w:val="22"/>
              </w:rPr>
              <w:t>disaggregated walkthrough</w:t>
            </w:r>
            <w:r w:rsidR="005B57B9">
              <w:rPr>
                <w:sz w:val="22"/>
              </w:rPr>
              <w:t xml:space="preserve"> data,</w:t>
            </w:r>
            <w:r w:rsidR="001E2FB2">
              <w:rPr>
                <w:sz w:val="22"/>
              </w:rPr>
              <w:t xml:space="preserve"> </w:t>
            </w:r>
            <w:r>
              <w:rPr>
                <w:sz w:val="22"/>
              </w:rPr>
              <w:t>and student and staff survey data</w:t>
            </w:r>
          </w:p>
          <w:p w14:paraId="659466A5" w14:textId="77777777" w:rsidR="00DC6FB3" w:rsidRPr="00A80E36" w:rsidRDefault="00DC6FB3">
            <w:pPr>
              <w:ind w:left="144" w:hanging="144"/>
              <w:rPr>
                <w:sz w:val="22"/>
              </w:rPr>
            </w:pPr>
            <w:r w:rsidRPr="00080DEB">
              <w:rPr>
                <w:b/>
                <w:i/>
                <w:sz w:val="22"/>
              </w:rPr>
              <w:t>Impact:</w:t>
            </w:r>
            <w:r>
              <w:rPr>
                <w:sz w:val="22"/>
              </w:rPr>
              <w:t xml:space="preserve"> </w:t>
            </w:r>
            <w:r w:rsidR="00006A06">
              <w:rPr>
                <w:sz w:val="22"/>
              </w:rPr>
              <w:t xml:space="preserve">Disaggregated </w:t>
            </w:r>
            <w:r>
              <w:rPr>
                <w:sz w:val="22"/>
              </w:rPr>
              <w:t>grades and attendance data</w:t>
            </w:r>
            <w:r w:rsidR="00006A06">
              <w:rPr>
                <w:sz w:val="22"/>
              </w:rPr>
              <w:t xml:space="preserve"> each grading period</w:t>
            </w:r>
          </w:p>
        </w:tc>
      </w:tr>
      <w:tr w:rsidR="00DC6FB3" w14:paraId="72F725C1" w14:textId="77777777" w:rsidTr="00821981">
        <w:trPr>
          <w:cantSplit/>
          <w:trHeight w:val="809"/>
        </w:trPr>
        <w:tc>
          <w:tcPr>
            <w:tcW w:w="2963" w:type="dxa"/>
            <w:shd w:val="clear" w:color="auto" w:fill="FFFFE4"/>
          </w:tcPr>
          <w:p w14:paraId="7B774DA5" w14:textId="77777777" w:rsidR="003E5D23" w:rsidRDefault="003E5D23" w:rsidP="003E5D23">
            <w:pPr>
              <w:ind w:left="432" w:hanging="432"/>
              <w:jc w:val="right"/>
              <w:rPr>
                <w:sz w:val="22"/>
              </w:rPr>
            </w:pPr>
            <w:r w:rsidRPr="003E5D23">
              <w:rPr>
                <w:i/>
                <w:sz w:val="12"/>
                <w:bdr w:val="single" w:sz="4" w:space="0" w:color="auto"/>
              </w:rPr>
              <w:t>Instructional</w:t>
            </w:r>
            <w:r>
              <w:rPr>
                <w:sz w:val="22"/>
              </w:rPr>
              <w:t xml:space="preserve"> </w:t>
            </w:r>
          </w:p>
          <w:p w14:paraId="2AEAB624" w14:textId="77777777" w:rsidR="009A3C57" w:rsidRDefault="009A3C57" w:rsidP="00281654">
            <w:pPr>
              <w:ind w:left="432" w:hanging="432"/>
              <w:rPr>
                <w:sz w:val="22"/>
              </w:rPr>
            </w:pPr>
            <w:r>
              <w:rPr>
                <w:sz w:val="22"/>
              </w:rPr>
              <w:t>3</w:t>
            </w:r>
            <w:r w:rsidR="00DC6FB3">
              <w:rPr>
                <w:sz w:val="22"/>
              </w:rPr>
              <w:t>. Extended learning time</w:t>
            </w:r>
          </w:p>
          <w:p w14:paraId="095A5F05" w14:textId="77777777" w:rsidR="009A3C57" w:rsidRDefault="009A3C57" w:rsidP="009A3C57">
            <w:pPr>
              <w:ind w:left="432" w:hanging="432"/>
              <w:jc w:val="right"/>
              <w:rPr>
                <w:i/>
                <w:sz w:val="12"/>
              </w:rPr>
            </w:pPr>
          </w:p>
          <w:p w14:paraId="6AFBF16B" w14:textId="77777777" w:rsidR="00DC6FB3" w:rsidRPr="00A80E36" w:rsidRDefault="00DC6FB3" w:rsidP="009A3C57">
            <w:pPr>
              <w:ind w:left="432" w:hanging="432"/>
              <w:jc w:val="right"/>
              <w:rPr>
                <w:sz w:val="22"/>
              </w:rPr>
            </w:pPr>
          </w:p>
        </w:tc>
        <w:tc>
          <w:tcPr>
            <w:tcW w:w="8107" w:type="dxa"/>
            <w:shd w:val="clear" w:color="auto" w:fill="FFFFE4"/>
            <w:tcMar>
              <w:top w:w="43" w:type="dxa"/>
              <w:bottom w:w="43" w:type="dxa"/>
            </w:tcMar>
            <w:vAlign w:val="center"/>
          </w:tcPr>
          <w:p w14:paraId="5E699553" w14:textId="77777777" w:rsidR="00DC6FB3" w:rsidRDefault="00DC6FB3" w:rsidP="00890BAB">
            <w:pPr>
              <w:spacing w:after="120"/>
              <w:ind w:left="144" w:hanging="144"/>
              <w:rPr>
                <w:sz w:val="22"/>
              </w:rPr>
            </w:pPr>
            <w:r w:rsidRPr="00080DEB">
              <w:rPr>
                <w:b/>
                <w:i/>
                <w:sz w:val="22"/>
              </w:rPr>
              <w:t>Implementation:</w:t>
            </w:r>
            <w:r>
              <w:rPr>
                <w:sz w:val="22"/>
              </w:rPr>
              <w:t xml:space="preserve"> </w:t>
            </w:r>
            <w:r w:rsidR="00F05217">
              <w:rPr>
                <w:sz w:val="22"/>
              </w:rPr>
              <w:t>Updated disaggregated e</w:t>
            </w:r>
            <w:r w:rsidR="003A75E2">
              <w:rPr>
                <w:sz w:val="22"/>
              </w:rPr>
              <w:t xml:space="preserve">nrollment in extended learning time </w:t>
            </w:r>
            <w:r w:rsidR="00623AC2">
              <w:rPr>
                <w:sz w:val="22"/>
              </w:rPr>
              <w:t>activities, attendance</w:t>
            </w:r>
            <w:r>
              <w:rPr>
                <w:sz w:val="22"/>
              </w:rPr>
              <w:t>, and walkthrough data</w:t>
            </w:r>
          </w:p>
          <w:p w14:paraId="139269F2" w14:textId="77777777" w:rsidR="00DC6FB3" w:rsidRPr="00702800" w:rsidRDefault="00DC6FB3">
            <w:pPr>
              <w:ind w:left="144" w:hanging="144"/>
              <w:rPr>
                <w:sz w:val="22"/>
              </w:rPr>
            </w:pPr>
            <w:r w:rsidRPr="00550E6E">
              <w:rPr>
                <w:b/>
                <w:i/>
                <w:sz w:val="22"/>
              </w:rPr>
              <w:t>Impact:</w:t>
            </w:r>
            <w:r>
              <w:rPr>
                <w:b/>
                <w:i/>
                <w:sz w:val="22"/>
              </w:rPr>
              <w:t xml:space="preserve"> </w:t>
            </w:r>
            <w:r w:rsidR="00E24F35">
              <w:rPr>
                <w:sz w:val="22"/>
              </w:rPr>
              <w:t xml:space="preserve">Disaggregated </w:t>
            </w:r>
            <w:r>
              <w:rPr>
                <w:sz w:val="22"/>
              </w:rPr>
              <w:t>grades or benchmark scores—depending on the objectives—and student and staff survey data</w:t>
            </w:r>
            <w:r w:rsidR="00E24F35">
              <w:rPr>
                <w:sz w:val="22"/>
              </w:rPr>
              <w:t xml:space="preserve"> each grading period</w:t>
            </w:r>
          </w:p>
        </w:tc>
      </w:tr>
      <w:tr w:rsidR="00DC6FB3" w14:paraId="3CBCB8B0" w14:textId="77777777" w:rsidTr="00821981">
        <w:trPr>
          <w:cantSplit/>
          <w:trHeight w:val="809"/>
        </w:trPr>
        <w:tc>
          <w:tcPr>
            <w:tcW w:w="2963" w:type="dxa"/>
            <w:shd w:val="clear" w:color="auto" w:fill="FFFFE4"/>
          </w:tcPr>
          <w:p w14:paraId="0E7049D6" w14:textId="77777777" w:rsidR="008B7375" w:rsidRDefault="008B7375" w:rsidP="008B7375">
            <w:pPr>
              <w:ind w:left="144" w:hanging="144"/>
              <w:jc w:val="right"/>
              <w:rPr>
                <w:sz w:val="22"/>
              </w:rPr>
            </w:pPr>
            <w:r w:rsidRPr="008B7375">
              <w:rPr>
                <w:i/>
                <w:sz w:val="12"/>
                <w:bdr w:val="single" w:sz="4" w:space="0" w:color="auto"/>
              </w:rPr>
              <w:t>Instructional</w:t>
            </w:r>
          </w:p>
          <w:p w14:paraId="04CD5FCD" w14:textId="77777777" w:rsidR="009A3C57" w:rsidRDefault="009A3C57" w:rsidP="009A3C57">
            <w:pPr>
              <w:ind w:left="144" w:hanging="144"/>
              <w:rPr>
                <w:sz w:val="22"/>
              </w:rPr>
            </w:pPr>
            <w:r>
              <w:rPr>
                <w:sz w:val="22"/>
              </w:rPr>
              <w:t>4</w:t>
            </w:r>
            <w:r w:rsidR="00DC6FB3">
              <w:rPr>
                <w:sz w:val="22"/>
              </w:rPr>
              <w:t xml:space="preserve">. Multiple </w:t>
            </w:r>
            <w:r w:rsidR="008B7375">
              <w:rPr>
                <w:sz w:val="22"/>
              </w:rPr>
              <w:t xml:space="preserve">graduation </w:t>
            </w:r>
            <w:r w:rsidR="00DC6FB3">
              <w:rPr>
                <w:sz w:val="22"/>
              </w:rPr>
              <w:t>path</w:t>
            </w:r>
            <w:r w:rsidR="008B7375">
              <w:rPr>
                <w:sz w:val="22"/>
              </w:rPr>
              <w:t>s</w:t>
            </w:r>
            <w:r>
              <w:rPr>
                <w:sz w:val="22"/>
              </w:rPr>
              <w:t xml:space="preserve">; time, </w:t>
            </w:r>
            <w:r w:rsidR="00DC6FB3">
              <w:rPr>
                <w:sz w:val="22"/>
              </w:rPr>
              <w:t>locations, etc.</w:t>
            </w:r>
          </w:p>
          <w:p w14:paraId="55E0F2C5" w14:textId="77777777" w:rsidR="00DC6FB3" w:rsidRPr="00A80E36" w:rsidRDefault="00DC6FB3" w:rsidP="009A3C57">
            <w:pPr>
              <w:ind w:left="144" w:hanging="144"/>
              <w:jc w:val="right"/>
              <w:rPr>
                <w:sz w:val="22"/>
              </w:rPr>
            </w:pPr>
          </w:p>
        </w:tc>
        <w:tc>
          <w:tcPr>
            <w:tcW w:w="8107" w:type="dxa"/>
            <w:shd w:val="clear" w:color="auto" w:fill="FFFFE4"/>
            <w:tcMar>
              <w:top w:w="43" w:type="dxa"/>
              <w:bottom w:w="43" w:type="dxa"/>
            </w:tcMar>
            <w:vAlign w:val="center"/>
          </w:tcPr>
          <w:p w14:paraId="31CE4B5B" w14:textId="77777777" w:rsidR="00DC6FB3" w:rsidRDefault="00DC6FB3" w:rsidP="00890BAB">
            <w:pPr>
              <w:spacing w:after="120"/>
              <w:ind w:left="144" w:hanging="144"/>
              <w:rPr>
                <w:sz w:val="22"/>
              </w:rPr>
            </w:pPr>
            <w:r w:rsidRPr="00080DEB">
              <w:rPr>
                <w:b/>
                <w:i/>
                <w:sz w:val="22"/>
              </w:rPr>
              <w:t>Implementation:</w:t>
            </w:r>
            <w:r>
              <w:rPr>
                <w:sz w:val="22"/>
              </w:rPr>
              <w:t xml:space="preserve"> </w:t>
            </w:r>
            <w:r w:rsidR="00F05217">
              <w:rPr>
                <w:sz w:val="22"/>
              </w:rPr>
              <w:t xml:space="preserve">Updated </w:t>
            </w:r>
            <w:r>
              <w:rPr>
                <w:sz w:val="22"/>
              </w:rPr>
              <w:t>disaggregated enrollment data indicating students participating in multiple path options</w:t>
            </w:r>
          </w:p>
          <w:p w14:paraId="522DA917" w14:textId="77777777" w:rsidR="00DC6FB3" w:rsidRPr="00623AC2" w:rsidRDefault="00DC6FB3">
            <w:pPr>
              <w:ind w:left="144" w:hanging="144"/>
              <w:rPr>
                <w:b/>
                <w:sz w:val="22"/>
              </w:rPr>
            </w:pPr>
            <w:r w:rsidRPr="00D111DB">
              <w:rPr>
                <w:b/>
                <w:i/>
                <w:sz w:val="22"/>
              </w:rPr>
              <w:t>Impact:</w:t>
            </w:r>
            <w:r>
              <w:rPr>
                <w:sz w:val="22"/>
              </w:rPr>
              <w:t xml:space="preserve"> </w:t>
            </w:r>
            <w:r w:rsidR="00E24F35">
              <w:rPr>
                <w:sz w:val="22"/>
              </w:rPr>
              <w:t>D</w:t>
            </w:r>
            <w:r>
              <w:rPr>
                <w:sz w:val="22"/>
              </w:rPr>
              <w:t>isaggregated grades and attendance data</w:t>
            </w:r>
            <w:r>
              <w:rPr>
                <w:b/>
                <w:i/>
                <w:sz w:val="22"/>
              </w:rPr>
              <w:t xml:space="preserve"> </w:t>
            </w:r>
            <w:r w:rsidR="00E24F35" w:rsidRPr="00623AC2">
              <w:rPr>
                <w:sz w:val="22"/>
              </w:rPr>
              <w:t>each grading</w:t>
            </w:r>
            <w:r w:rsidR="00E24F35">
              <w:rPr>
                <w:b/>
                <w:sz w:val="22"/>
              </w:rPr>
              <w:t xml:space="preserve"> </w:t>
            </w:r>
            <w:r w:rsidR="00E24F35" w:rsidRPr="00623AC2">
              <w:rPr>
                <w:sz w:val="22"/>
              </w:rPr>
              <w:t>period</w:t>
            </w:r>
          </w:p>
        </w:tc>
      </w:tr>
      <w:tr w:rsidR="00A80E36" w14:paraId="141ADAF1" w14:textId="77777777" w:rsidTr="00821981">
        <w:trPr>
          <w:cantSplit/>
          <w:trHeight w:val="809"/>
        </w:trPr>
        <w:tc>
          <w:tcPr>
            <w:tcW w:w="2963" w:type="dxa"/>
            <w:tcBorders>
              <w:bottom w:val="single" w:sz="4" w:space="0" w:color="000000" w:themeColor="text1"/>
            </w:tcBorders>
            <w:shd w:val="clear" w:color="auto" w:fill="FFFFE4"/>
          </w:tcPr>
          <w:p w14:paraId="2F060FE8" w14:textId="77777777" w:rsidR="008B7375" w:rsidRDefault="008B7375" w:rsidP="008B7375">
            <w:pPr>
              <w:ind w:left="432" w:hanging="432"/>
              <w:jc w:val="right"/>
              <w:rPr>
                <w:sz w:val="22"/>
              </w:rPr>
            </w:pPr>
            <w:r w:rsidRPr="008B7375">
              <w:rPr>
                <w:i/>
                <w:sz w:val="12"/>
                <w:bdr w:val="single" w:sz="4" w:space="0" w:color="auto"/>
              </w:rPr>
              <w:t>Instructional</w:t>
            </w:r>
          </w:p>
          <w:p w14:paraId="169CF433" w14:textId="77777777" w:rsidR="00A80E36" w:rsidRPr="008B7375" w:rsidRDefault="009A3C57" w:rsidP="008B7375">
            <w:pPr>
              <w:ind w:left="432" w:hanging="432"/>
              <w:rPr>
                <w:sz w:val="22"/>
              </w:rPr>
            </w:pPr>
            <w:r>
              <w:rPr>
                <w:sz w:val="22"/>
              </w:rPr>
              <w:t>5</w:t>
            </w:r>
            <w:r w:rsidR="00A80E36" w:rsidRPr="00A80E36">
              <w:rPr>
                <w:sz w:val="22"/>
              </w:rPr>
              <w:t>. Tutoring</w:t>
            </w:r>
          </w:p>
        </w:tc>
        <w:tc>
          <w:tcPr>
            <w:tcW w:w="8107" w:type="dxa"/>
            <w:tcBorders>
              <w:bottom w:val="single" w:sz="4" w:space="0" w:color="000000" w:themeColor="text1"/>
            </w:tcBorders>
            <w:shd w:val="clear" w:color="auto" w:fill="FFFFE4"/>
            <w:tcMar>
              <w:top w:w="43" w:type="dxa"/>
              <w:bottom w:w="43" w:type="dxa"/>
            </w:tcMar>
            <w:vAlign w:val="center"/>
          </w:tcPr>
          <w:p w14:paraId="1E5115DB" w14:textId="77777777" w:rsidR="00A97389" w:rsidRDefault="007C573E" w:rsidP="008B7375">
            <w:pPr>
              <w:spacing w:after="120"/>
              <w:ind w:left="144" w:hanging="144"/>
              <w:rPr>
                <w:sz w:val="22"/>
              </w:rPr>
            </w:pPr>
            <w:r w:rsidRPr="00550E6E">
              <w:rPr>
                <w:b/>
                <w:i/>
                <w:sz w:val="22"/>
              </w:rPr>
              <w:t>Implementation:</w:t>
            </w:r>
            <w:r w:rsidR="002A0717">
              <w:rPr>
                <w:sz w:val="22"/>
              </w:rPr>
              <w:t xml:space="preserve"> </w:t>
            </w:r>
            <w:r w:rsidR="00F05217">
              <w:rPr>
                <w:sz w:val="22"/>
              </w:rPr>
              <w:t xml:space="preserve">Updated </w:t>
            </w:r>
            <w:r w:rsidR="002A0717">
              <w:rPr>
                <w:sz w:val="22"/>
              </w:rPr>
              <w:t xml:space="preserve">disaggregated </w:t>
            </w:r>
            <w:r w:rsidR="00F05217">
              <w:rPr>
                <w:sz w:val="22"/>
              </w:rPr>
              <w:t xml:space="preserve">enrollment, </w:t>
            </w:r>
            <w:r w:rsidR="002A0717">
              <w:rPr>
                <w:sz w:val="22"/>
              </w:rPr>
              <w:t>attendance</w:t>
            </w:r>
            <w:r w:rsidR="00F96F69">
              <w:rPr>
                <w:sz w:val="22"/>
              </w:rPr>
              <w:t>, and walkthrough data</w:t>
            </w:r>
          </w:p>
          <w:p w14:paraId="27C0376B" w14:textId="77777777" w:rsidR="00A80E36" w:rsidRPr="00A80E36" w:rsidRDefault="007C573E">
            <w:pPr>
              <w:ind w:left="144" w:hanging="144"/>
              <w:rPr>
                <w:sz w:val="22"/>
              </w:rPr>
            </w:pPr>
            <w:r w:rsidRPr="00550E6E">
              <w:rPr>
                <w:b/>
                <w:i/>
                <w:sz w:val="22"/>
              </w:rPr>
              <w:t>Impact:</w:t>
            </w:r>
            <w:r>
              <w:rPr>
                <w:sz w:val="22"/>
              </w:rPr>
              <w:t xml:space="preserve"> </w:t>
            </w:r>
            <w:r w:rsidR="00E24F35">
              <w:rPr>
                <w:sz w:val="22"/>
              </w:rPr>
              <w:t xml:space="preserve">Disaggregated </w:t>
            </w:r>
            <w:r w:rsidR="00F96F69">
              <w:rPr>
                <w:sz w:val="22"/>
              </w:rPr>
              <w:t>grades or benchmark scores</w:t>
            </w:r>
            <w:r w:rsidR="007227B5">
              <w:rPr>
                <w:sz w:val="22"/>
              </w:rPr>
              <w:t>—</w:t>
            </w:r>
            <w:r w:rsidR="002A0717">
              <w:rPr>
                <w:sz w:val="22"/>
              </w:rPr>
              <w:t>depending on the objectives</w:t>
            </w:r>
            <w:r w:rsidR="007227B5">
              <w:rPr>
                <w:sz w:val="22"/>
              </w:rPr>
              <w:t>—</w:t>
            </w:r>
            <w:r w:rsidR="00F96F69">
              <w:rPr>
                <w:sz w:val="22"/>
              </w:rPr>
              <w:t>and student and staff survey data</w:t>
            </w:r>
            <w:r w:rsidR="00E24F35">
              <w:rPr>
                <w:sz w:val="22"/>
              </w:rPr>
              <w:t xml:space="preserve"> each grading period</w:t>
            </w:r>
          </w:p>
        </w:tc>
      </w:tr>
      <w:tr w:rsidR="001A15BD" w14:paraId="25FC12D5" w14:textId="77777777" w:rsidTr="00821981">
        <w:trPr>
          <w:cantSplit/>
          <w:trHeight w:val="1252"/>
        </w:trPr>
        <w:tc>
          <w:tcPr>
            <w:tcW w:w="2963" w:type="dxa"/>
            <w:shd w:val="clear" w:color="auto" w:fill="E5FAFF"/>
          </w:tcPr>
          <w:p w14:paraId="654E0592" w14:textId="77777777" w:rsidR="008B7375" w:rsidRDefault="008B7375" w:rsidP="008B7375">
            <w:pPr>
              <w:ind w:left="144" w:hanging="144"/>
              <w:jc w:val="right"/>
              <w:rPr>
                <w:sz w:val="22"/>
              </w:rPr>
            </w:pPr>
            <w:r w:rsidRPr="008B7375">
              <w:rPr>
                <w:i/>
                <w:sz w:val="12"/>
                <w:bdr w:val="single" w:sz="4" w:space="0" w:color="auto"/>
              </w:rPr>
              <w:t>Organizational</w:t>
            </w:r>
          </w:p>
          <w:p w14:paraId="7D38B0D0" w14:textId="77777777" w:rsidR="001A15BD" w:rsidRPr="00694A82" w:rsidRDefault="00F60924" w:rsidP="00694A82">
            <w:pPr>
              <w:ind w:left="144" w:hanging="144"/>
              <w:rPr>
                <w:sz w:val="22"/>
              </w:rPr>
            </w:pPr>
            <w:r>
              <w:rPr>
                <w:sz w:val="22"/>
              </w:rPr>
              <w:t>6</w:t>
            </w:r>
            <w:r w:rsidR="001A15BD">
              <w:rPr>
                <w:sz w:val="22"/>
              </w:rPr>
              <w:t xml:space="preserve">. Block scheduling to allow a double dose, especially in </w:t>
            </w:r>
            <w:r w:rsidR="008B7375">
              <w:rPr>
                <w:sz w:val="22"/>
              </w:rPr>
              <w:t>mathematics</w:t>
            </w:r>
            <w:r w:rsidR="001A15BD">
              <w:rPr>
                <w:sz w:val="22"/>
              </w:rPr>
              <w:t xml:space="preserve"> and </w:t>
            </w:r>
            <w:r w:rsidR="008B7375">
              <w:rPr>
                <w:sz w:val="22"/>
              </w:rPr>
              <w:t>reading</w:t>
            </w:r>
          </w:p>
        </w:tc>
        <w:tc>
          <w:tcPr>
            <w:tcW w:w="8107" w:type="dxa"/>
            <w:shd w:val="clear" w:color="auto" w:fill="E5FAFF"/>
            <w:tcMar>
              <w:top w:w="43" w:type="dxa"/>
              <w:bottom w:w="43" w:type="dxa"/>
            </w:tcMar>
            <w:vAlign w:val="center"/>
          </w:tcPr>
          <w:p w14:paraId="02E428A8" w14:textId="77777777" w:rsidR="001A15BD" w:rsidRDefault="001A15BD" w:rsidP="00890BAB">
            <w:pPr>
              <w:spacing w:after="120"/>
              <w:ind w:left="144" w:hanging="144"/>
              <w:rPr>
                <w:sz w:val="22"/>
              </w:rPr>
            </w:pPr>
            <w:r w:rsidRPr="00D111DB">
              <w:rPr>
                <w:b/>
                <w:i/>
                <w:sz w:val="22"/>
              </w:rPr>
              <w:t xml:space="preserve">Implementation: </w:t>
            </w:r>
            <w:r w:rsidR="00F05217">
              <w:rPr>
                <w:sz w:val="22"/>
              </w:rPr>
              <w:t xml:space="preserve">Updated </w:t>
            </w:r>
            <w:r>
              <w:rPr>
                <w:sz w:val="22"/>
              </w:rPr>
              <w:t xml:space="preserve">disaggregated </w:t>
            </w:r>
            <w:r w:rsidR="00F05217">
              <w:rPr>
                <w:sz w:val="22"/>
              </w:rPr>
              <w:t xml:space="preserve">enrollment, </w:t>
            </w:r>
            <w:r w:rsidR="00623AC2">
              <w:rPr>
                <w:sz w:val="22"/>
              </w:rPr>
              <w:t>attendance,</w:t>
            </w:r>
            <w:r>
              <w:rPr>
                <w:sz w:val="22"/>
              </w:rPr>
              <w:t xml:space="preserve"> and walkthrough data</w:t>
            </w:r>
          </w:p>
          <w:p w14:paraId="05F869B6" w14:textId="77777777" w:rsidR="001A15BD" w:rsidRPr="00080DEB" w:rsidRDefault="001A15BD">
            <w:pPr>
              <w:ind w:left="144" w:hanging="144"/>
              <w:rPr>
                <w:b/>
                <w:i/>
                <w:sz w:val="22"/>
              </w:rPr>
            </w:pPr>
            <w:r w:rsidRPr="00D111DB">
              <w:rPr>
                <w:b/>
                <w:i/>
                <w:sz w:val="22"/>
              </w:rPr>
              <w:t>Impact:</w:t>
            </w:r>
            <w:r>
              <w:rPr>
                <w:sz w:val="22"/>
              </w:rPr>
              <w:t xml:space="preserve"> </w:t>
            </w:r>
            <w:r w:rsidR="00E24F35">
              <w:rPr>
                <w:sz w:val="22"/>
              </w:rPr>
              <w:t xml:space="preserve">Disaggregated </w:t>
            </w:r>
            <w:r>
              <w:rPr>
                <w:sz w:val="22"/>
              </w:rPr>
              <w:t>grades or benchmark scores—depending on the objectives—and student and staff survey data</w:t>
            </w:r>
            <w:r w:rsidR="00E24F35">
              <w:rPr>
                <w:sz w:val="22"/>
              </w:rPr>
              <w:t xml:space="preserve"> each grading period</w:t>
            </w:r>
          </w:p>
        </w:tc>
      </w:tr>
      <w:tr w:rsidR="001A15BD" w14:paraId="0C4F1394" w14:textId="77777777" w:rsidTr="00821981">
        <w:trPr>
          <w:cantSplit/>
          <w:trHeight w:val="548"/>
        </w:trPr>
        <w:tc>
          <w:tcPr>
            <w:tcW w:w="2963" w:type="dxa"/>
            <w:shd w:val="clear" w:color="auto" w:fill="E5FAFF"/>
          </w:tcPr>
          <w:p w14:paraId="526B4A30" w14:textId="77777777" w:rsidR="008B7375" w:rsidRDefault="008B7375" w:rsidP="008B7375">
            <w:pPr>
              <w:ind w:left="144" w:hanging="144"/>
              <w:jc w:val="right"/>
              <w:rPr>
                <w:sz w:val="22"/>
              </w:rPr>
            </w:pPr>
            <w:r w:rsidRPr="008B7375">
              <w:rPr>
                <w:i/>
                <w:sz w:val="12"/>
                <w:bdr w:val="single" w:sz="4" w:space="0" w:color="auto"/>
              </w:rPr>
              <w:t>Organizational</w:t>
            </w:r>
          </w:p>
          <w:p w14:paraId="7909F5B4" w14:textId="77777777" w:rsidR="00F60924" w:rsidRDefault="00F60924" w:rsidP="00F60924">
            <w:pPr>
              <w:ind w:left="144" w:hanging="144"/>
              <w:rPr>
                <w:sz w:val="22"/>
              </w:rPr>
            </w:pPr>
            <w:r>
              <w:rPr>
                <w:sz w:val="22"/>
              </w:rPr>
              <w:t>7</w:t>
            </w:r>
            <w:r w:rsidR="001A15BD">
              <w:rPr>
                <w:sz w:val="22"/>
              </w:rPr>
              <w:t xml:space="preserve">. </w:t>
            </w:r>
            <w:r w:rsidR="00877D18">
              <w:rPr>
                <w:sz w:val="22"/>
              </w:rPr>
              <w:t xml:space="preserve">Eighth- </w:t>
            </w:r>
            <w:r w:rsidR="001A15BD">
              <w:rPr>
                <w:sz w:val="22"/>
              </w:rPr>
              <w:t xml:space="preserve">to </w:t>
            </w:r>
            <w:r w:rsidR="00877D18">
              <w:rPr>
                <w:sz w:val="22"/>
              </w:rPr>
              <w:t>ninth-</w:t>
            </w:r>
            <w:r w:rsidR="001A15BD" w:rsidRPr="00A80E36">
              <w:rPr>
                <w:sz w:val="22"/>
              </w:rPr>
              <w:t>grade transition programs</w:t>
            </w:r>
          </w:p>
          <w:p w14:paraId="0E23EFE2" w14:textId="77777777" w:rsidR="001A15BD" w:rsidRPr="00A80E36" w:rsidRDefault="001A15BD" w:rsidP="00F60924">
            <w:pPr>
              <w:ind w:left="144" w:hanging="144"/>
              <w:jc w:val="right"/>
              <w:rPr>
                <w:sz w:val="22"/>
              </w:rPr>
            </w:pPr>
          </w:p>
        </w:tc>
        <w:tc>
          <w:tcPr>
            <w:tcW w:w="8107" w:type="dxa"/>
            <w:shd w:val="clear" w:color="auto" w:fill="E5FAFF"/>
            <w:tcMar>
              <w:top w:w="43" w:type="dxa"/>
              <w:bottom w:w="43" w:type="dxa"/>
            </w:tcMar>
            <w:vAlign w:val="center"/>
          </w:tcPr>
          <w:p w14:paraId="13B65D63" w14:textId="77777777" w:rsidR="001A15BD" w:rsidRDefault="001A15BD" w:rsidP="00890BAB">
            <w:pPr>
              <w:spacing w:after="120"/>
              <w:ind w:left="144" w:hanging="144"/>
              <w:rPr>
                <w:sz w:val="22"/>
              </w:rPr>
            </w:pPr>
            <w:r w:rsidRPr="00080DEB">
              <w:rPr>
                <w:b/>
                <w:i/>
                <w:sz w:val="22"/>
              </w:rPr>
              <w:t>Implementation:</w:t>
            </w:r>
            <w:r>
              <w:rPr>
                <w:sz w:val="22"/>
              </w:rPr>
              <w:t xml:space="preserve"> </w:t>
            </w:r>
            <w:r w:rsidR="003D6E5A">
              <w:rPr>
                <w:sz w:val="22"/>
              </w:rPr>
              <w:t xml:space="preserve">Updated </w:t>
            </w:r>
            <w:r w:rsidR="001E2FB2">
              <w:rPr>
                <w:sz w:val="22"/>
              </w:rPr>
              <w:t xml:space="preserve">disaggregated enrollment, attendance, </w:t>
            </w:r>
            <w:r>
              <w:rPr>
                <w:sz w:val="22"/>
              </w:rPr>
              <w:t>and walkthrough data</w:t>
            </w:r>
            <w:r w:rsidR="001E2FB2">
              <w:rPr>
                <w:sz w:val="22"/>
              </w:rPr>
              <w:t xml:space="preserve"> focused on the transition program’s goals</w:t>
            </w:r>
          </w:p>
          <w:p w14:paraId="56295FDA" w14:textId="77777777" w:rsidR="001A15BD" w:rsidRPr="00A80E36" w:rsidRDefault="001A15BD" w:rsidP="005B57B9">
            <w:pPr>
              <w:ind w:left="144" w:hanging="144"/>
              <w:rPr>
                <w:sz w:val="22"/>
              </w:rPr>
            </w:pPr>
            <w:r w:rsidRPr="00080DEB">
              <w:rPr>
                <w:b/>
                <w:i/>
                <w:sz w:val="22"/>
              </w:rPr>
              <w:t>Impact:</w:t>
            </w:r>
            <w:r>
              <w:rPr>
                <w:sz w:val="22"/>
              </w:rPr>
              <w:t xml:space="preserve"> End</w:t>
            </w:r>
            <w:r w:rsidR="005B57B9">
              <w:rPr>
                <w:sz w:val="22"/>
              </w:rPr>
              <w:t>-</w:t>
            </w:r>
            <w:r>
              <w:rPr>
                <w:sz w:val="22"/>
              </w:rPr>
              <w:t>of</w:t>
            </w:r>
            <w:r w:rsidR="005B57B9">
              <w:rPr>
                <w:sz w:val="22"/>
              </w:rPr>
              <w:t>-</w:t>
            </w:r>
            <w:r>
              <w:rPr>
                <w:sz w:val="22"/>
              </w:rPr>
              <w:t xml:space="preserve">program disaggregated student and staff survey data </w:t>
            </w:r>
          </w:p>
        </w:tc>
      </w:tr>
      <w:tr w:rsidR="001A15BD" w14:paraId="5CD4A34D" w14:textId="77777777" w:rsidTr="00821981">
        <w:trPr>
          <w:cantSplit/>
          <w:trHeight w:val="548"/>
        </w:trPr>
        <w:tc>
          <w:tcPr>
            <w:tcW w:w="2963" w:type="dxa"/>
            <w:shd w:val="clear" w:color="auto" w:fill="E5FAFF"/>
          </w:tcPr>
          <w:p w14:paraId="50AEBF06" w14:textId="77777777" w:rsidR="008B7375" w:rsidRDefault="008B7375" w:rsidP="008B7375">
            <w:pPr>
              <w:ind w:left="432" w:hanging="432"/>
              <w:jc w:val="right"/>
              <w:rPr>
                <w:sz w:val="22"/>
              </w:rPr>
            </w:pPr>
            <w:r w:rsidRPr="008B7375">
              <w:rPr>
                <w:i/>
                <w:sz w:val="12"/>
                <w:bdr w:val="single" w:sz="4" w:space="0" w:color="auto"/>
              </w:rPr>
              <w:t>Organizational</w:t>
            </w:r>
          </w:p>
          <w:p w14:paraId="5AE3341A" w14:textId="77777777" w:rsidR="00F60924" w:rsidRDefault="001A15BD" w:rsidP="00281654">
            <w:pPr>
              <w:ind w:left="432" w:hanging="432"/>
              <w:rPr>
                <w:sz w:val="22"/>
              </w:rPr>
            </w:pPr>
            <w:r w:rsidRPr="00A80E36">
              <w:rPr>
                <w:sz w:val="22"/>
              </w:rPr>
              <w:t>8. Homeroom system</w:t>
            </w:r>
          </w:p>
          <w:p w14:paraId="5952AB00" w14:textId="77777777" w:rsidR="00F60924" w:rsidRDefault="00F60924" w:rsidP="00281654">
            <w:pPr>
              <w:ind w:left="432" w:hanging="432"/>
              <w:rPr>
                <w:sz w:val="22"/>
              </w:rPr>
            </w:pPr>
          </w:p>
          <w:p w14:paraId="53770BDF" w14:textId="77777777" w:rsidR="001A15BD" w:rsidRPr="00A80E36" w:rsidRDefault="001A15BD" w:rsidP="00F60924">
            <w:pPr>
              <w:ind w:left="432" w:hanging="432"/>
              <w:jc w:val="right"/>
              <w:rPr>
                <w:sz w:val="22"/>
              </w:rPr>
            </w:pPr>
          </w:p>
        </w:tc>
        <w:tc>
          <w:tcPr>
            <w:tcW w:w="8107" w:type="dxa"/>
            <w:shd w:val="clear" w:color="auto" w:fill="E5FAFF"/>
            <w:tcMar>
              <w:top w:w="43" w:type="dxa"/>
              <w:bottom w:w="43" w:type="dxa"/>
            </w:tcMar>
            <w:vAlign w:val="center"/>
          </w:tcPr>
          <w:p w14:paraId="190F40EE" w14:textId="77777777" w:rsidR="001A15BD" w:rsidRDefault="001A15BD" w:rsidP="00C03732">
            <w:pPr>
              <w:spacing w:after="120"/>
              <w:ind w:left="144" w:hanging="144"/>
              <w:rPr>
                <w:sz w:val="22"/>
              </w:rPr>
            </w:pPr>
            <w:r w:rsidRPr="00D111DB">
              <w:rPr>
                <w:b/>
                <w:i/>
                <w:sz w:val="22"/>
              </w:rPr>
              <w:t>Implementation</w:t>
            </w:r>
            <w:r w:rsidRPr="00B8282B">
              <w:rPr>
                <w:i/>
                <w:sz w:val="22"/>
              </w:rPr>
              <w:t xml:space="preserve">: </w:t>
            </w:r>
            <w:r w:rsidR="003D6E5A">
              <w:rPr>
                <w:sz w:val="22"/>
              </w:rPr>
              <w:t xml:space="preserve">Updated </w:t>
            </w:r>
            <w:r w:rsidR="00840519">
              <w:rPr>
                <w:sz w:val="22"/>
              </w:rPr>
              <w:t>disaggregated attendance and walkthrough data focused on homeroom program components</w:t>
            </w:r>
          </w:p>
          <w:p w14:paraId="793AB8E8" w14:textId="77777777" w:rsidR="001A15BD" w:rsidRPr="00A80E36" w:rsidRDefault="001A15BD">
            <w:pPr>
              <w:ind w:left="144" w:hanging="144"/>
              <w:rPr>
                <w:sz w:val="22"/>
              </w:rPr>
            </w:pPr>
            <w:r w:rsidRPr="00D111DB">
              <w:rPr>
                <w:b/>
                <w:i/>
                <w:sz w:val="22"/>
              </w:rPr>
              <w:t>Impact:</w:t>
            </w:r>
            <w:r>
              <w:rPr>
                <w:sz w:val="22"/>
              </w:rPr>
              <w:t xml:space="preserve"> </w:t>
            </w:r>
            <w:r w:rsidR="00E24F35">
              <w:rPr>
                <w:sz w:val="22"/>
              </w:rPr>
              <w:t>D</w:t>
            </w:r>
            <w:r>
              <w:rPr>
                <w:sz w:val="22"/>
              </w:rPr>
              <w:t>isaggregated student and staff survey data and disaggregated attendance and GPA data</w:t>
            </w:r>
            <w:r w:rsidR="00E24F35">
              <w:rPr>
                <w:sz w:val="22"/>
              </w:rPr>
              <w:t xml:space="preserve"> each grading period</w:t>
            </w:r>
          </w:p>
        </w:tc>
      </w:tr>
      <w:tr w:rsidR="00AD5578" w14:paraId="6953E439" w14:textId="77777777" w:rsidTr="00821981">
        <w:trPr>
          <w:cantSplit/>
          <w:trHeight w:val="548"/>
        </w:trPr>
        <w:tc>
          <w:tcPr>
            <w:tcW w:w="2963" w:type="dxa"/>
            <w:tcBorders>
              <w:bottom w:val="single" w:sz="4" w:space="0" w:color="000000" w:themeColor="text1"/>
            </w:tcBorders>
            <w:shd w:val="clear" w:color="auto" w:fill="E5FAFF"/>
          </w:tcPr>
          <w:p w14:paraId="6489A719" w14:textId="77777777" w:rsidR="008B7375" w:rsidRDefault="008B7375" w:rsidP="00877D18">
            <w:pPr>
              <w:ind w:left="432" w:hanging="432"/>
              <w:jc w:val="right"/>
              <w:rPr>
                <w:sz w:val="22"/>
              </w:rPr>
            </w:pPr>
            <w:r w:rsidRPr="00877D18">
              <w:rPr>
                <w:i/>
                <w:sz w:val="12"/>
                <w:bdr w:val="single" w:sz="4" w:space="0" w:color="auto"/>
              </w:rPr>
              <w:t>Organizational</w:t>
            </w:r>
            <w:r w:rsidR="00877D18">
              <w:rPr>
                <w:i/>
                <w:sz w:val="12"/>
                <w:bdr w:val="single" w:sz="4" w:space="0" w:color="auto"/>
              </w:rPr>
              <w:t xml:space="preserve"> </w:t>
            </w:r>
          </w:p>
          <w:p w14:paraId="0FDC5A07" w14:textId="77777777" w:rsidR="00AD5578" w:rsidRDefault="00F12A17" w:rsidP="00890BAB">
            <w:pPr>
              <w:ind w:left="432" w:hanging="432"/>
              <w:rPr>
                <w:sz w:val="22"/>
              </w:rPr>
            </w:pPr>
            <w:r>
              <w:rPr>
                <w:sz w:val="22"/>
              </w:rPr>
              <w:t>9</w:t>
            </w:r>
            <w:r w:rsidR="00AD5578">
              <w:rPr>
                <w:sz w:val="22"/>
              </w:rPr>
              <w:t>. Ninth-grade a</w:t>
            </w:r>
            <w:r w:rsidR="00AD5578" w:rsidRPr="00A80E36">
              <w:rPr>
                <w:sz w:val="22"/>
              </w:rPr>
              <w:t>cademies</w:t>
            </w:r>
          </w:p>
          <w:p w14:paraId="13768042" w14:textId="77777777" w:rsidR="00AD5578" w:rsidRPr="00A80E36" w:rsidRDefault="00AD5578" w:rsidP="00AD5578">
            <w:pPr>
              <w:ind w:left="432" w:hanging="432"/>
              <w:jc w:val="right"/>
              <w:rPr>
                <w:sz w:val="22"/>
              </w:rPr>
            </w:pPr>
          </w:p>
        </w:tc>
        <w:tc>
          <w:tcPr>
            <w:tcW w:w="8107" w:type="dxa"/>
            <w:tcBorders>
              <w:bottom w:val="single" w:sz="4" w:space="0" w:color="000000" w:themeColor="text1"/>
            </w:tcBorders>
            <w:shd w:val="clear" w:color="auto" w:fill="E5FAFF"/>
            <w:tcMar>
              <w:top w:w="43" w:type="dxa"/>
              <w:bottom w:w="43" w:type="dxa"/>
            </w:tcMar>
            <w:vAlign w:val="center"/>
          </w:tcPr>
          <w:p w14:paraId="442322EB" w14:textId="77777777" w:rsidR="00AD5578" w:rsidRDefault="00AD5578" w:rsidP="00890BAB">
            <w:pPr>
              <w:spacing w:after="120"/>
              <w:ind w:left="144" w:hanging="144"/>
              <w:rPr>
                <w:sz w:val="22"/>
              </w:rPr>
            </w:pPr>
            <w:r w:rsidRPr="00D111DB">
              <w:rPr>
                <w:b/>
                <w:i/>
                <w:sz w:val="22"/>
              </w:rPr>
              <w:t>Implementatio</w:t>
            </w:r>
            <w:r>
              <w:rPr>
                <w:b/>
                <w:i/>
                <w:sz w:val="22"/>
              </w:rPr>
              <w:t xml:space="preserve">n: </w:t>
            </w:r>
            <w:r w:rsidR="003D6E5A">
              <w:rPr>
                <w:sz w:val="22"/>
              </w:rPr>
              <w:t xml:space="preserve">Updated </w:t>
            </w:r>
            <w:r w:rsidR="001E2FB2">
              <w:rPr>
                <w:sz w:val="22"/>
              </w:rPr>
              <w:t>disaggregated walkthrough data focused on</w:t>
            </w:r>
            <w:r>
              <w:rPr>
                <w:sz w:val="22"/>
              </w:rPr>
              <w:t xml:space="preserve"> ninth-grade academy components</w:t>
            </w:r>
          </w:p>
          <w:p w14:paraId="12FF5B07" w14:textId="77777777" w:rsidR="00AD5578" w:rsidRPr="00A80E36" w:rsidRDefault="00AD5578">
            <w:pPr>
              <w:ind w:left="144" w:hanging="144"/>
              <w:rPr>
                <w:sz w:val="22"/>
              </w:rPr>
            </w:pPr>
            <w:r w:rsidRPr="00D111DB">
              <w:rPr>
                <w:b/>
                <w:i/>
                <w:sz w:val="22"/>
              </w:rPr>
              <w:t>Impact:</w:t>
            </w:r>
            <w:r>
              <w:rPr>
                <w:sz w:val="22"/>
              </w:rPr>
              <w:t xml:space="preserve"> </w:t>
            </w:r>
            <w:r w:rsidR="0022125D">
              <w:rPr>
                <w:sz w:val="22"/>
              </w:rPr>
              <w:t xml:space="preserve">Disaggregated </w:t>
            </w:r>
            <w:r>
              <w:rPr>
                <w:sz w:val="22"/>
              </w:rPr>
              <w:t>student and staff survey data and disaggregated attendance and GPA data</w:t>
            </w:r>
            <w:r w:rsidR="0022125D">
              <w:rPr>
                <w:sz w:val="22"/>
              </w:rPr>
              <w:t xml:space="preserve"> each grading period</w:t>
            </w:r>
          </w:p>
        </w:tc>
      </w:tr>
      <w:tr w:rsidR="00AD5578" w14:paraId="26BFBB72" w14:textId="77777777" w:rsidTr="00821981">
        <w:trPr>
          <w:cantSplit/>
          <w:trHeight w:val="548"/>
        </w:trPr>
        <w:tc>
          <w:tcPr>
            <w:tcW w:w="2963" w:type="dxa"/>
            <w:shd w:val="clear" w:color="auto" w:fill="E5FAFF"/>
          </w:tcPr>
          <w:p w14:paraId="52673FE3" w14:textId="77777777" w:rsidR="008B7375" w:rsidRDefault="008B7375" w:rsidP="008B7375">
            <w:pPr>
              <w:ind w:left="432" w:hanging="432"/>
              <w:jc w:val="right"/>
              <w:rPr>
                <w:sz w:val="22"/>
              </w:rPr>
            </w:pPr>
            <w:r w:rsidRPr="008B7375">
              <w:rPr>
                <w:i/>
                <w:sz w:val="12"/>
                <w:bdr w:val="single" w:sz="4" w:space="0" w:color="auto"/>
              </w:rPr>
              <w:lastRenderedPageBreak/>
              <w:t>Organizational</w:t>
            </w:r>
          </w:p>
          <w:p w14:paraId="5E0AD7DB" w14:textId="77777777" w:rsidR="00AD5578" w:rsidRDefault="00F12A17" w:rsidP="00C03732">
            <w:pPr>
              <w:ind w:left="432" w:hanging="432"/>
              <w:rPr>
                <w:sz w:val="22"/>
              </w:rPr>
            </w:pPr>
            <w:r>
              <w:rPr>
                <w:sz w:val="22"/>
              </w:rPr>
              <w:t>10</w:t>
            </w:r>
            <w:r w:rsidR="00AD5578" w:rsidRPr="00A80E36">
              <w:rPr>
                <w:sz w:val="22"/>
              </w:rPr>
              <w:t xml:space="preserve">. Small </w:t>
            </w:r>
            <w:r w:rsidR="00AD5578">
              <w:rPr>
                <w:sz w:val="22"/>
              </w:rPr>
              <w:t>l</w:t>
            </w:r>
            <w:r w:rsidR="00AD5578" w:rsidRPr="00A80E36">
              <w:rPr>
                <w:sz w:val="22"/>
              </w:rPr>
              <w:t xml:space="preserve">earning </w:t>
            </w:r>
            <w:r w:rsidR="00AD5578">
              <w:rPr>
                <w:sz w:val="22"/>
              </w:rPr>
              <w:t>c</w:t>
            </w:r>
            <w:r w:rsidR="00AD5578" w:rsidRPr="00A80E36">
              <w:rPr>
                <w:sz w:val="22"/>
              </w:rPr>
              <w:t>ommunities (SLCs)</w:t>
            </w:r>
          </w:p>
          <w:p w14:paraId="6107D814" w14:textId="77777777" w:rsidR="00AD5578" w:rsidRPr="00A80E36" w:rsidRDefault="00AD5578" w:rsidP="00AD5578">
            <w:pPr>
              <w:ind w:left="432" w:hanging="432"/>
              <w:jc w:val="right"/>
              <w:rPr>
                <w:sz w:val="22"/>
              </w:rPr>
            </w:pPr>
          </w:p>
        </w:tc>
        <w:tc>
          <w:tcPr>
            <w:tcW w:w="8107" w:type="dxa"/>
            <w:shd w:val="clear" w:color="auto" w:fill="E5FAFF"/>
            <w:tcMar>
              <w:top w:w="43" w:type="dxa"/>
              <w:bottom w:w="43" w:type="dxa"/>
            </w:tcMar>
            <w:vAlign w:val="center"/>
          </w:tcPr>
          <w:p w14:paraId="04F96A36" w14:textId="77777777" w:rsidR="00AD5578" w:rsidRDefault="00AD5578" w:rsidP="00C62D2B">
            <w:pPr>
              <w:spacing w:after="100"/>
              <w:ind w:left="144" w:hanging="144"/>
              <w:rPr>
                <w:sz w:val="22"/>
              </w:rPr>
            </w:pPr>
            <w:r w:rsidRPr="00D111DB">
              <w:rPr>
                <w:b/>
                <w:i/>
                <w:sz w:val="22"/>
              </w:rPr>
              <w:t>Implementation</w:t>
            </w:r>
            <w:r>
              <w:rPr>
                <w:sz w:val="22"/>
              </w:rPr>
              <w:t xml:space="preserve">: </w:t>
            </w:r>
            <w:r w:rsidR="003D6E5A">
              <w:rPr>
                <w:sz w:val="22"/>
              </w:rPr>
              <w:t xml:space="preserve">Updated </w:t>
            </w:r>
            <w:r w:rsidR="001E2FB2">
              <w:rPr>
                <w:sz w:val="22"/>
              </w:rPr>
              <w:t>disaggregated walkthrough data focused on</w:t>
            </w:r>
            <w:r>
              <w:rPr>
                <w:sz w:val="22"/>
              </w:rPr>
              <w:t xml:space="preserve"> small learning communities components</w:t>
            </w:r>
          </w:p>
          <w:p w14:paraId="6F6C3F27" w14:textId="77777777" w:rsidR="00AD5578" w:rsidRPr="00A80E36" w:rsidRDefault="00AD5578">
            <w:pPr>
              <w:ind w:left="144" w:hanging="144"/>
              <w:rPr>
                <w:sz w:val="22"/>
              </w:rPr>
            </w:pPr>
            <w:r w:rsidRPr="00D111DB">
              <w:rPr>
                <w:b/>
                <w:i/>
                <w:sz w:val="22"/>
              </w:rPr>
              <w:t>Impact:</w:t>
            </w:r>
            <w:r>
              <w:rPr>
                <w:sz w:val="22"/>
              </w:rPr>
              <w:t xml:space="preserve"> </w:t>
            </w:r>
            <w:r w:rsidR="0022125D">
              <w:rPr>
                <w:sz w:val="22"/>
              </w:rPr>
              <w:t xml:space="preserve">Disaggregated </w:t>
            </w:r>
            <w:r>
              <w:rPr>
                <w:sz w:val="22"/>
              </w:rPr>
              <w:t>student and staff survey data and disaggregated attendance and GPA data</w:t>
            </w:r>
            <w:r w:rsidR="0022125D">
              <w:rPr>
                <w:sz w:val="22"/>
              </w:rPr>
              <w:t xml:space="preserve"> each grading period</w:t>
            </w:r>
          </w:p>
        </w:tc>
      </w:tr>
      <w:tr w:rsidR="001859CF" w14:paraId="443944C1" w14:textId="77777777" w:rsidTr="00821981">
        <w:trPr>
          <w:cantSplit/>
          <w:trHeight w:val="548"/>
        </w:trPr>
        <w:tc>
          <w:tcPr>
            <w:tcW w:w="2963" w:type="dxa"/>
            <w:tcBorders>
              <w:bottom w:val="single" w:sz="4" w:space="0" w:color="000000" w:themeColor="text1"/>
            </w:tcBorders>
            <w:shd w:val="clear" w:color="auto" w:fill="E5FAFF"/>
          </w:tcPr>
          <w:p w14:paraId="2486DD0E" w14:textId="77777777" w:rsidR="00A46538" w:rsidRDefault="00A46538" w:rsidP="00A46538">
            <w:pPr>
              <w:ind w:left="432" w:hanging="432"/>
              <w:jc w:val="right"/>
              <w:rPr>
                <w:sz w:val="22"/>
              </w:rPr>
            </w:pPr>
            <w:r w:rsidRPr="00A46538">
              <w:rPr>
                <w:i/>
                <w:sz w:val="12"/>
                <w:bdr w:val="single" w:sz="4" w:space="0" w:color="auto"/>
              </w:rPr>
              <w:t>Organizational</w:t>
            </w:r>
          </w:p>
          <w:p w14:paraId="64DB375A" w14:textId="77777777" w:rsidR="001859CF" w:rsidRDefault="001859CF" w:rsidP="00281654">
            <w:pPr>
              <w:ind w:left="432" w:hanging="432"/>
              <w:rPr>
                <w:sz w:val="22"/>
              </w:rPr>
            </w:pPr>
            <w:r w:rsidRPr="00A80E36">
              <w:rPr>
                <w:sz w:val="22"/>
              </w:rPr>
              <w:t>11. Tiered interventions</w:t>
            </w:r>
          </w:p>
          <w:p w14:paraId="48E76CA8" w14:textId="77777777" w:rsidR="001859CF" w:rsidRPr="00A80E36" w:rsidRDefault="001859CF" w:rsidP="001859CF">
            <w:pPr>
              <w:ind w:left="432" w:hanging="432"/>
              <w:jc w:val="right"/>
              <w:rPr>
                <w:sz w:val="22"/>
              </w:rPr>
            </w:pPr>
          </w:p>
        </w:tc>
        <w:tc>
          <w:tcPr>
            <w:tcW w:w="8107" w:type="dxa"/>
            <w:tcBorders>
              <w:bottom w:val="single" w:sz="4" w:space="0" w:color="000000" w:themeColor="text1"/>
            </w:tcBorders>
            <w:shd w:val="clear" w:color="auto" w:fill="E5FAFF"/>
            <w:tcMar>
              <w:top w:w="43" w:type="dxa"/>
              <w:bottom w:w="43" w:type="dxa"/>
            </w:tcMar>
            <w:vAlign w:val="center"/>
          </w:tcPr>
          <w:p w14:paraId="7140579F" w14:textId="77777777" w:rsidR="001859CF" w:rsidRDefault="001859CF" w:rsidP="00C62D2B">
            <w:pPr>
              <w:spacing w:after="100"/>
              <w:ind w:left="144" w:hanging="144"/>
              <w:rPr>
                <w:sz w:val="22"/>
              </w:rPr>
            </w:pPr>
            <w:r w:rsidRPr="00666605">
              <w:rPr>
                <w:b/>
                <w:i/>
                <w:sz w:val="22"/>
              </w:rPr>
              <w:t>Implementation:</w:t>
            </w:r>
            <w:r>
              <w:rPr>
                <w:sz w:val="22"/>
              </w:rPr>
              <w:t xml:space="preserve"> </w:t>
            </w:r>
            <w:r w:rsidR="003D6E5A">
              <w:rPr>
                <w:sz w:val="22"/>
              </w:rPr>
              <w:t xml:space="preserve">Updated </w:t>
            </w:r>
            <w:r w:rsidR="00EF49F3">
              <w:rPr>
                <w:sz w:val="22"/>
              </w:rPr>
              <w:t>walkthrough data focused on</w:t>
            </w:r>
            <w:r>
              <w:rPr>
                <w:sz w:val="22"/>
              </w:rPr>
              <w:t xml:space="preserve"> tiered-intervention components</w:t>
            </w:r>
          </w:p>
          <w:p w14:paraId="4C6E72DC" w14:textId="77777777" w:rsidR="001859CF" w:rsidRPr="00A80E36" w:rsidRDefault="001859CF">
            <w:pPr>
              <w:ind w:left="144" w:hanging="144"/>
              <w:rPr>
                <w:sz w:val="22"/>
              </w:rPr>
            </w:pPr>
            <w:r w:rsidRPr="00666605">
              <w:rPr>
                <w:b/>
                <w:i/>
                <w:sz w:val="22"/>
              </w:rPr>
              <w:t>Impact:</w:t>
            </w:r>
            <w:r>
              <w:rPr>
                <w:sz w:val="22"/>
              </w:rPr>
              <w:t xml:space="preserve"> </w:t>
            </w:r>
            <w:r w:rsidR="0022125D">
              <w:rPr>
                <w:sz w:val="22"/>
              </w:rPr>
              <w:t>S</w:t>
            </w:r>
            <w:r>
              <w:rPr>
                <w:sz w:val="22"/>
              </w:rPr>
              <w:t xml:space="preserve">tudent and </w:t>
            </w:r>
            <w:r w:rsidR="00EF49F3">
              <w:rPr>
                <w:sz w:val="22"/>
              </w:rPr>
              <w:t xml:space="preserve">staff survey data and </w:t>
            </w:r>
            <w:r>
              <w:rPr>
                <w:sz w:val="22"/>
              </w:rPr>
              <w:t>RTI data</w:t>
            </w:r>
            <w:r w:rsidR="0022125D">
              <w:rPr>
                <w:sz w:val="22"/>
              </w:rPr>
              <w:t xml:space="preserve"> each grading period</w:t>
            </w:r>
          </w:p>
        </w:tc>
      </w:tr>
      <w:tr w:rsidR="00A80E36" w14:paraId="780160D2" w14:textId="77777777" w:rsidTr="00821981">
        <w:trPr>
          <w:cantSplit/>
          <w:trHeight w:val="548"/>
        </w:trPr>
        <w:tc>
          <w:tcPr>
            <w:tcW w:w="2963" w:type="dxa"/>
            <w:shd w:val="clear" w:color="auto" w:fill="FFE2DC"/>
          </w:tcPr>
          <w:p w14:paraId="640F69FE" w14:textId="77777777" w:rsidR="00A46538" w:rsidRDefault="00A46538" w:rsidP="00A46538">
            <w:pPr>
              <w:ind w:left="432" w:hanging="432"/>
              <w:jc w:val="right"/>
              <w:rPr>
                <w:sz w:val="22"/>
              </w:rPr>
            </w:pPr>
            <w:r w:rsidRPr="00A46538">
              <w:rPr>
                <w:i/>
                <w:sz w:val="12"/>
                <w:bdr w:val="single" w:sz="4" w:space="0" w:color="auto"/>
              </w:rPr>
              <w:t>Assessing &amp; Monitoring</w:t>
            </w:r>
          </w:p>
          <w:p w14:paraId="3E6212DC" w14:textId="77777777" w:rsidR="00F12A17" w:rsidRDefault="00F12A17" w:rsidP="00281654">
            <w:pPr>
              <w:ind w:left="432" w:hanging="432"/>
              <w:rPr>
                <w:sz w:val="22"/>
              </w:rPr>
            </w:pPr>
            <w:r>
              <w:rPr>
                <w:sz w:val="22"/>
              </w:rPr>
              <w:t>1</w:t>
            </w:r>
            <w:r w:rsidR="00A80E36" w:rsidRPr="00A80E36">
              <w:rPr>
                <w:sz w:val="22"/>
              </w:rPr>
              <w:t>2. Attendance monitor</w:t>
            </w:r>
            <w:r w:rsidR="00A148BE">
              <w:rPr>
                <w:sz w:val="22"/>
              </w:rPr>
              <w:t>s</w:t>
            </w:r>
          </w:p>
          <w:p w14:paraId="537A56BD" w14:textId="77777777" w:rsidR="00A80E36" w:rsidRPr="00F12A17" w:rsidRDefault="00A80E36" w:rsidP="00F12A17">
            <w:pPr>
              <w:ind w:left="432" w:hanging="432"/>
              <w:jc w:val="right"/>
              <w:rPr>
                <w:i/>
                <w:sz w:val="12"/>
              </w:rPr>
            </w:pPr>
          </w:p>
        </w:tc>
        <w:tc>
          <w:tcPr>
            <w:tcW w:w="8107" w:type="dxa"/>
            <w:shd w:val="clear" w:color="auto" w:fill="FFE2DC"/>
            <w:tcMar>
              <w:top w:w="43" w:type="dxa"/>
              <w:bottom w:w="43" w:type="dxa"/>
            </w:tcMar>
            <w:vAlign w:val="center"/>
          </w:tcPr>
          <w:p w14:paraId="175E822E" w14:textId="77777777" w:rsidR="007C573E" w:rsidRDefault="007C573E" w:rsidP="00C62D2B">
            <w:pPr>
              <w:spacing w:after="100"/>
              <w:ind w:left="144" w:hanging="144"/>
              <w:rPr>
                <w:sz w:val="22"/>
              </w:rPr>
            </w:pPr>
            <w:r w:rsidRPr="00550E6E">
              <w:rPr>
                <w:b/>
                <w:i/>
                <w:sz w:val="22"/>
              </w:rPr>
              <w:t>Implementation:</w:t>
            </w:r>
            <w:r>
              <w:rPr>
                <w:sz w:val="22"/>
              </w:rPr>
              <w:t xml:space="preserve"> </w:t>
            </w:r>
            <w:r w:rsidR="003D6E5A">
              <w:rPr>
                <w:sz w:val="22"/>
              </w:rPr>
              <w:t xml:space="preserve">Updated </w:t>
            </w:r>
            <w:r w:rsidR="009921C0">
              <w:rPr>
                <w:sz w:val="22"/>
              </w:rPr>
              <w:t xml:space="preserve">disaggregated </w:t>
            </w:r>
            <w:r w:rsidR="008B115D">
              <w:rPr>
                <w:sz w:val="22"/>
              </w:rPr>
              <w:t>data indicating</w:t>
            </w:r>
            <w:r w:rsidR="002A0717">
              <w:rPr>
                <w:sz w:val="22"/>
              </w:rPr>
              <w:t xml:space="preserve"> students with 10%</w:t>
            </w:r>
            <w:r w:rsidR="005B57B9">
              <w:rPr>
                <w:sz w:val="22"/>
              </w:rPr>
              <w:t xml:space="preserve"> or more </w:t>
            </w:r>
            <w:r w:rsidR="002A0717">
              <w:rPr>
                <w:sz w:val="22"/>
              </w:rPr>
              <w:t>absences</w:t>
            </w:r>
          </w:p>
          <w:p w14:paraId="1FB4D94F" w14:textId="77777777" w:rsidR="00A80E36" w:rsidRPr="00A80E36" w:rsidRDefault="007C573E">
            <w:pPr>
              <w:ind w:left="144" w:hanging="144"/>
              <w:rPr>
                <w:sz w:val="22"/>
              </w:rPr>
            </w:pPr>
            <w:r w:rsidRPr="00550E6E">
              <w:rPr>
                <w:b/>
                <w:i/>
                <w:sz w:val="22"/>
              </w:rPr>
              <w:t>Impact:</w:t>
            </w:r>
            <w:r>
              <w:rPr>
                <w:sz w:val="22"/>
              </w:rPr>
              <w:t xml:space="preserve"> </w:t>
            </w:r>
            <w:r w:rsidR="0022125D">
              <w:rPr>
                <w:sz w:val="22"/>
              </w:rPr>
              <w:t>D</w:t>
            </w:r>
            <w:r w:rsidR="00F429F4">
              <w:rPr>
                <w:sz w:val="22"/>
              </w:rPr>
              <w:t>isaggregated attendance data</w:t>
            </w:r>
            <w:r w:rsidR="008B115D">
              <w:rPr>
                <w:sz w:val="22"/>
              </w:rPr>
              <w:t xml:space="preserve"> </w:t>
            </w:r>
            <w:r w:rsidR="0022125D">
              <w:rPr>
                <w:sz w:val="22"/>
              </w:rPr>
              <w:t>each grading period</w:t>
            </w:r>
          </w:p>
        </w:tc>
      </w:tr>
      <w:tr w:rsidR="00A80E36" w14:paraId="40003AF8" w14:textId="77777777" w:rsidTr="00821981">
        <w:trPr>
          <w:cantSplit/>
          <w:trHeight w:val="439"/>
        </w:trPr>
        <w:tc>
          <w:tcPr>
            <w:tcW w:w="2963" w:type="dxa"/>
            <w:shd w:val="clear" w:color="auto" w:fill="FFE2DC"/>
          </w:tcPr>
          <w:p w14:paraId="67EC502C" w14:textId="77777777" w:rsidR="00A46538" w:rsidRDefault="00A46538" w:rsidP="00A46538">
            <w:pPr>
              <w:ind w:left="432" w:hanging="432"/>
              <w:jc w:val="right"/>
              <w:rPr>
                <w:sz w:val="22"/>
              </w:rPr>
            </w:pPr>
            <w:r w:rsidRPr="00A46538">
              <w:rPr>
                <w:i/>
                <w:sz w:val="12"/>
                <w:bdr w:val="single" w:sz="4" w:space="0" w:color="auto"/>
              </w:rPr>
              <w:t>Assessing &amp; Monitoring</w:t>
            </w:r>
          </w:p>
          <w:p w14:paraId="6FCC99CC" w14:textId="77777777" w:rsidR="00F12A17" w:rsidRDefault="00F12A17" w:rsidP="00281654">
            <w:pPr>
              <w:ind w:left="432" w:hanging="432"/>
              <w:rPr>
                <w:sz w:val="22"/>
              </w:rPr>
            </w:pPr>
            <w:r>
              <w:rPr>
                <w:sz w:val="22"/>
              </w:rPr>
              <w:t>13</w:t>
            </w:r>
            <w:r w:rsidR="00A80E36" w:rsidRPr="00A80E36">
              <w:rPr>
                <w:sz w:val="22"/>
              </w:rPr>
              <w:t>. Behavior monitor</w:t>
            </w:r>
            <w:r w:rsidR="00A148BE">
              <w:rPr>
                <w:sz w:val="22"/>
              </w:rPr>
              <w:t>s</w:t>
            </w:r>
          </w:p>
          <w:p w14:paraId="173523F1" w14:textId="77777777" w:rsidR="00A80E36" w:rsidRPr="00A80E36" w:rsidRDefault="00A80E36" w:rsidP="00F12A17">
            <w:pPr>
              <w:ind w:left="432" w:hanging="432"/>
              <w:jc w:val="right"/>
              <w:rPr>
                <w:sz w:val="22"/>
              </w:rPr>
            </w:pPr>
          </w:p>
        </w:tc>
        <w:tc>
          <w:tcPr>
            <w:tcW w:w="8107" w:type="dxa"/>
            <w:shd w:val="clear" w:color="auto" w:fill="FFE2DC"/>
            <w:tcMar>
              <w:top w:w="43" w:type="dxa"/>
              <w:bottom w:w="43" w:type="dxa"/>
            </w:tcMar>
            <w:vAlign w:val="center"/>
          </w:tcPr>
          <w:p w14:paraId="6CB09FB4" w14:textId="77777777" w:rsidR="00A97389" w:rsidRDefault="007C573E" w:rsidP="00C62D2B">
            <w:pPr>
              <w:spacing w:after="100"/>
              <w:ind w:left="144" w:hanging="144"/>
              <w:rPr>
                <w:sz w:val="22"/>
              </w:rPr>
            </w:pPr>
            <w:r w:rsidRPr="00550E6E">
              <w:rPr>
                <w:b/>
                <w:i/>
                <w:sz w:val="22"/>
              </w:rPr>
              <w:t>Implementation:</w:t>
            </w:r>
            <w:r>
              <w:rPr>
                <w:sz w:val="22"/>
              </w:rPr>
              <w:t xml:space="preserve"> </w:t>
            </w:r>
            <w:r w:rsidR="003D6E5A">
              <w:rPr>
                <w:sz w:val="22"/>
              </w:rPr>
              <w:t xml:space="preserve">Updated </w:t>
            </w:r>
            <w:r w:rsidR="009921C0">
              <w:rPr>
                <w:sz w:val="22"/>
              </w:rPr>
              <w:t xml:space="preserve">disaggregated </w:t>
            </w:r>
            <w:r w:rsidR="00F8599D">
              <w:rPr>
                <w:sz w:val="22"/>
              </w:rPr>
              <w:t>data indicating</w:t>
            </w:r>
            <w:r w:rsidR="00981AE1">
              <w:rPr>
                <w:sz w:val="22"/>
              </w:rPr>
              <w:t xml:space="preserve"> students with more than one behavior incident</w:t>
            </w:r>
          </w:p>
          <w:p w14:paraId="4EEB9D59" w14:textId="77777777" w:rsidR="00A80E36" w:rsidRPr="00A80E36" w:rsidRDefault="00981AE1">
            <w:pPr>
              <w:ind w:left="144" w:hanging="144"/>
              <w:rPr>
                <w:sz w:val="22"/>
              </w:rPr>
            </w:pPr>
            <w:r>
              <w:rPr>
                <w:b/>
                <w:i/>
                <w:sz w:val="22"/>
              </w:rPr>
              <w:t>I</w:t>
            </w:r>
            <w:r w:rsidR="007C573E" w:rsidRPr="00550E6E">
              <w:rPr>
                <w:b/>
                <w:i/>
                <w:sz w:val="22"/>
              </w:rPr>
              <w:t>mpact:</w:t>
            </w:r>
            <w:r w:rsidR="007C573E">
              <w:rPr>
                <w:sz w:val="22"/>
              </w:rPr>
              <w:t xml:space="preserve"> </w:t>
            </w:r>
            <w:r w:rsidR="0022125D">
              <w:rPr>
                <w:sz w:val="22"/>
              </w:rPr>
              <w:t>D</w:t>
            </w:r>
            <w:r w:rsidR="00F429F4">
              <w:rPr>
                <w:sz w:val="22"/>
              </w:rPr>
              <w:t xml:space="preserve">isaggregated behavior data </w:t>
            </w:r>
            <w:r w:rsidR="0022125D">
              <w:rPr>
                <w:sz w:val="22"/>
              </w:rPr>
              <w:t>each grading period</w:t>
            </w:r>
          </w:p>
        </w:tc>
      </w:tr>
      <w:tr w:rsidR="00F12A17" w14:paraId="681A6166" w14:textId="77777777" w:rsidTr="00821981">
        <w:trPr>
          <w:cantSplit/>
          <w:trHeight w:val="414"/>
        </w:trPr>
        <w:tc>
          <w:tcPr>
            <w:tcW w:w="2963" w:type="dxa"/>
            <w:shd w:val="clear" w:color="auto" w:fill="FFE2DC"/>
          </w:tcPr>
          <w:p w14:paraId="63E31B8D" w14:textId="77777777" w:rsidR="00A46538" w:rsidRDefault="00A46538" w:rsidP="00A46538">
            <w:pPr>
              <w:ind w:left="432" w:hanging="432"/>
              <w:jc w:val="right"/>
              <w:rPr>
                <w:sz w:val="22"/>
              </w:rPr>
            </w:pPr>
            <w:r w:rsidRPr="00A46538">
              <w:rPr>
                <w:i/>
                <w:sz w:val="12"/>
                <w:bdr w:val="single" w:sz="4" w:space="0" w:color="auto"/>
              </w:rPr>
              <w:t>Assessing &amp; Monitoring</w:t>
            </w:r>
          </w:p>
          <w:p w14:paraId="1AA4D9CD" w14:textId="77777777" w:rsidR="00F12A17" w:rsidRDefault="00F12A17" w:rsidP="00281654">
            <w:pPr>
              <w:ind w:left="432" w:hanging="432"/>
              <w:rPr>
                <w:sz w:val="22"/>
              </w:rPr>
            </w:pPr>
            <w:r>
              <w:rPr>
                <w:sz w:val="22"/>
              </w:rPr>
              <w:t>14</w:t>
            </w:r>
            <w:r w:rsidRPr="00A80E36">
              <w:rPr>
                <w:sz w:val="22"/>
              </w:rPr>
              <w:t>. Benchmarking</w:t>
            </w:r>
          </w:p>
          <w:p w14:paraId="41443E53" w14:textId="77777777" w:rsidR="00F12A17" w:rsidRPr="00A80E36" w:rsidRDefault="00F12A17" w:rsidP="00F12A17">
            <w:pPr>
              <w:ind w:left="432" w:hanging="432"/>
              <w:jc w:val="right"/>
              <w:rPr>
                <w:sz w:val="22"/>
              </w:rPr>
            </w:pPr>
          </w:p>
        </w:tc>
        <w:tc>
          <w:tcPr>
            <w:tcW w:w="8107" w:type="dxa"/>
            <w:shd w:val="clear" w:color="auto" w:fill="FFE2DC"/>
            <w:tcMar>
              <w:top w:w="43" w:type="dxa"/>
              <w:bottom w:w="43" w:type="dxa"/>
            </w:tcMar>
            <w:vAlign w:val="center"/>
          </w:tcPr>
          <w:p w14:paraId="7217E079" w14:textId="77777777" w:rsidR="00F12A17" w:rsidRDefault="00F12A17" w:rsidP="00C62D2B">
            <w:pPr>
              <w:spacing w:after="100"/>
              <w:ind w:left="144" w:hanging="144"/>
              <w:rPr>
                <w:sz w:val="22"/>
              </w:rPr>
            </w:pPr>
            <w:r w:rsidRPr="00D111DB">
              <w:rPr>
                <w:b/>
                <w:i/>
                <w:sz w:val="22"/>
              </w:rPr>
              <w:t>Implementation</w:t>
            </w:r>
            <w:r w:rsidRPr="00B8282B">
              <w:rPr>
                <w:i/>
                <w:sz w:val="22"/>
              </w:rPr>
              <w:t>:</w:t>
            </w:r>
            <w:r>
              <w:rPr>
                <w:b/>
                <w:i/>
                <w:sz w:val="22"/>
              </w:rPr>
              <w:t xml:space="preserve"> </w:t>
            </w:r>
            <w:r w:rsidR="002123F5">
              <w:rPr>
                <w:sz w:val="22"/>
              </w:rPr>
              <w:t>S</w:t>
            </w:r>
            <w:r>
              <w:rPr>
                <w:sz w:val="22"/>
              </w:rPr>
              <w:t>taff reports on the strengths and weaknesses within the benchmarking process</w:t>
            </w:r>
          </w:p>
          <w:p w14:paraId="190B787F" w14:textId="77777777" w:rsidR="00F12A17" w:rsidRPr="00A80E36" w:rsidRDefault="00F12A17">
            <w:pPr>
              <w:ind w:left="144" w:hanging="144"/>
              <w:rPr>
                <w:sz w:val="22"/>
              </w:rPr>
            </w:pPr>
            <w:r w:rsidRPr="00D111DB">
              <w:rPr>
                <w:b/>
                <w:i/>
                <w:sz w:val="22"/>
              </w:rPr>
              <w:t>Impact:</w:t>
            </w:r>
            <w:r>
              <w:rPr>
                <w:sz w:val="22"/>
              </w:rPr>
              <w:t xml:space="preserve"> </w:t>
            </w:r>
            <w:r w:rsidR="002123F5">
              <w:rPr>
                <w:sz w:val="22"/>
              </w:rPr>
              <w:t>D</w:t>
            </w:r>
            <w:r>
              <w:rPr>
                <w:sz w:val="22"/>
              </w:rPr>
              <w:t>isaggregated student benchmark data</w:t>
            </w:r>
            <w:r w:rsidR="002123F5">
              <w:rPr>
                <w:sz w:val="22"/>
              </w:rPr>
              <w:t xml:space="preserve"> each grading period</w:t>
            </w:r>
          </w:p>
        </w:tc>
      </w:tr>
      <w:tr w:rsidR="00F12A17" w14:paraId="3DCFDF26" w14:textId="77777777" w:rsidTr="00821981">
        <w:trPr>
          <w:cantSplit/>
          <w:trHeight w:val="414"/>
        </w:trPr>
        <w:tc>
          <w:tcPr>
            <w:tcW w:w="2963" w:type="dxa"/>
            <w:tcBorders>
              <w:bottom w:val="single" w:sz="4" w:space="0" w:color="000000" w:themeColor="text1"/>
            </w:tcBorders>
            <w:shd w:val="clear" w:color="auto" w:fill="FFE2DC"/>
          </w:tcPr>
          <w:p w14:paraId="571767E9" w14:textId="77777777" w:rsidR="00A46538" w:rsidRDefault="00A46538" w:rsidP="00A46538">
            <w:pPr>
              <w:ind w:left="432" w:hanging="432"/>
              <w:jc w:val="right"/>
              <w:rPr>
                <w:sz w:val="22"/>
              </w:rPr>
            </w:pPr>
            <w:r w:rsidRPr="00A46538">
              <w:rPr>
                <w:i/>
                <w:sz w:val="12"/>
                <w:bdr w:val="single" w:sz="4" w:space="0" w:color="auto"/>
              </w:rPr>
              <w:t>Assessing &amp; Monitoring</w:t>
            </w:r>
          </w:p>
          <w:p w14:paraId="37FA3807" w14:textId="77777777" w:rsidR="00850701" w:rsidRDefault="00F12A17" w:rsidP="00281654">
            <w:pPr>
              <w:ind w:left="432" w:hanging="432"/>
              <w:rPr>
                <w:sz w:val="22"/>
              </w:rPr>
            </w:pPr>
            <w:r>
              <w:rPr>
                <w:sz w:val="22"/>
              </w:rPr>
              <w:t>15</w:t>
            </w:r>
            <w:r w:rsidRPr="00A80E36">
              <w:rPr>
                <w:sz w:val="22"/>
              </w:rPr>
              <w:t>. Progress monitoring</w:t>
            </w:r>
          </w:p>
          <w:p w14:paraId="15442AFA" w14:textId="77777777" w:rsidR="00F12A17" w:rsidRPr="00A80E36" w:rsidRDefault="00F12A17" w:rsidP="00850701">
            <w:pPr>
              <w:ind w:left="432" w:hanging="432"/>
              <w:jc w:val="right"/>
              <w:rPr>
                <w:sz w:val="22"/>
              </w:rPr>
            </w:pPr>
          </w:p>
        </w:tc>
        <w:tc>
          <w:tcPr>
            <w:tcW w:w="8107" w:type="dxa"/>
            <w:tcBorders>
              <w:bottom w:val="single" w:sz="4" w:space="0" w:color="000000" w:themeColor="text1"/>
            </w:tcBorders>
            <w:shd w:val="clear" w:color="auto" w:fill="FFE2DC"/>
            <w:tcMar>
              <w:top w:w="43" w:type="dxa"/>
              <w:bottom w:w="43" w:type="dxa"/>
            </w:tcMar>
            <w:vAlign w:val="center"/>
          </w:tcPr>
          <w:p w14:paraId="733188C4" w14:textId="77777777" w:rsidR="00F12A17" w:rsidRDefault="00F12A17" w:rsidP="00C62D2B">
            <w:pPr>
              <w:spacing w:after="100"/>
              <w:ind w:left="144" w:hanging="144"/>
              <w:rPr>
                <w:sz w:val="22"/>
              </w:rPr>
            </w:pPr>
            <w:r w:rsidRPr="00666605">
              <w:rPr>
                <w:b/>
                <w:i/>
                <w:sz w:val="22"/>
              </w:rPr>
              <w:t>Implementation:</w:t>
            </w:r>
            <w:r w:rsidR="002615A7">
              <w:rPr>
                <w:sz w:val="22"/>
              </w:rPr>
              <w:t xml:space="preserve"> </w:t>
            </w:r>
            <w:r w:rsidR="002123F5">
              <w:rPr>
                <w:sz w:val="22"/>
              </w:rPr>
              <w:t>S</w:t>
            </w:r>
            <w:r w:rsidR="002615A7">
              <w:rPr>
                <w:sz w:val="22"/>
              </w:rPr>
              <w:t>taff reports</w:t>
            </w:r>
            <w:r>
              <w:rPr>
                <w:sz w:val="22"/>
              </w:rPr>
              <w:t xml:space="preserve"> on the strengths and weaknesses within the progress monitoring process</w:t>
            </w:r>
          </w:p>
          <w:p w14:paraId="4E58C023" w14:textId="77777777" w:rsidR="00F12A17" w:rsidRPr="00A80E36" w:rsidRDefault="00F12A17">
            <w:pPr>
              <w:ind w:left="144" w:hanging="144"/>
              <w:rPr>
                <w:sz w:val="22"/>
              </w:rPr>
            </w:pPr>
            <w:r w:rsidRPr="00666605">
              <w:rPr>
                <w:b/>
                <w:i/>
                <w:sz w:val="22"/>
              </w:rPr>
              <w:t>Impact:</w:t>
            </w:r>
            <w:r>
              <w:rPr>
                <w:sz w:val="22"/>
              </w:rPr>
              <w:t xml:space="preserve"> Q </w:t>
            </w:r>
            <w:r w:rsidR="002123F5">
              <w:rPr>
                <w:sz w:val="22"/>
              </w:rPr>
              <w:t>D</w:t>
            </w:r>
            <w:r>
              <w:rPr>
                <w:sz w:val="22"/>
              </w:rPr>
              <w:t>isaggregated student grades and GPA data</w:t>
            </w:r>
            <w:r w:rsidR="002123F5">
              <w:rPr>
                <w:sz w:val="22"/>
              </w:rPr>
              <w:t xml:space="preserve"> each grading period</w:t>
            </w:r>
          </w:p>
        </w:tc>
      </w:tr>
      <w:tr w:rsidR="006B2BE0" w14:paraId="0DFA9BB5" w14:textId="77777777" w:rsidTr="00821981">
        <w:trPr>
          <w:cantSplit/>
          <w:trHeight w:val="414"/>
        </w:trPr>
        <w:tc>
          <w:tcPr>
            <w:tcW w:w="2963" w:type="dxa"/>
            <w:shd w:val="clear" w:color="auto" w:fill="EBFFE7"/>
          </w:tcPr>
          <w:p w14:paraId="6AB085E0" w14:textId="77777777" w:rsidR="00A46538" w:rsidRDefault="00A46538" w:rsidP="00A46538">
            <w:pPr>
              <w:ind w:left="432" w:hanging="432"/>
              <w:jc w:val="right"/>
              <w:rPr>
                <w:sz w:val="22"/>
              </w:rPr>
            </w:pPr>
            <w:r w:rsidRPr="00A46538">
              <w:rPr>
                <w:i/>
                <w:sz w:val="12"/>
                <w:bdr w:val="single" w:sz="4" w:space="0" w:color="auto"/>
              </w:rPr>
              <w:t>Support Services</w:t>
            </w:r>
          </w:p>
          <w:p w14:paraId="110CD0BF" w14:textId="429BAB97" w:rsidR="006B2BE0" w:rsidRDefault="006B2BE0" w:rsidP="00281654">
            <w:pPr>
              <w:ind w:left="432" w:hanging="432"/>
              <w:rPr>
                <w:sz w:val="22"/>
              </w:rPr>
            </w:pPr>
            <w:r>
              <w:rPr>
                <w:sz w:val="22"/>
              </w:rPr>
              <w:t>16</w:t>
            </w:r>
            <w:r w:rsidRPr="00A80E36">
              <w:rPr>
                <w:sz w:val="22"/>
              </w:rPr>
              <w:t>. Career/college</w:t>
            </w:r>
            <w:r w:rsidR="00821981">
              <w:rPr>
                <w:sz w:val="22"/>
              </w:rPr>
              <w:t xml:space="preserve"> </w:t>
            </w:r>
            <w:r w:rsidRPr="00A80E36">
              <w:rPr>
                <w:sz w:val="22"/>
              </w:rPr>
              <w:t>awareness</w:t>
            </w:r>
          </w:p>
          <w:p w14:paraId="33B0F838" w14:textId="77777777" w:rsidR="006B2BE0" w:rsidRPr="009067F7" w:rsidRDefault="006B2BE0" w:rsidP="009067F7">
            <w:pPr>
              <w:ind w:left="432" w:hanging="432"/>
              <w:jc w:val="right"/>
              <w:rPr>
                <w:i/>
                <w:sz w:val="12"/>
              </w:rPr>
            </w:pPr>
          </w:p>
        </w:tc>
        <w:tc>
          <w:tcPr>
            <w:tcW w:w="8107" w:type="dxa"/>
            <w:shd w:val="clear" w:color="auto" w:fill="EBFFE7"/>
            <w:tcMar>
              <w:top w:w="43" w:type="dxa"/>
              <w:bottom w:w="43" w:type="dxa"/>
            </w:tcMar>
            <w:vAlign w:val="center"/>
          </w:tcPr>
          <w:p w14:paraId="272F451A" w14:textId="77777777" w:rsidR="006B2BE0" w:rsidRDefault="006B2BE0" w:rsidP="00C62D2B">
            <w:pPr>
              <w:spacing w:after="100"/>
              <w:ind w:left="144" w:hanging="144"/>
              <w:rPr>
                <w:sz w:val="22"/>
              </w:rPr>
            </w:pPr>
            <w:r w:rsidRPr="00080DEB">
              <w:rPr>
                <w:b/>
                <w:i/>
                <w:sz w:val="22"/>
              </w:rPr>
              <w:t>Implementation:</w:t>
            </w:r>
            <w:r>
              <w:rPr>
                <w:sz w:val="22"/>
              </w:rPr>
              <w:t xml:space="preserve"> </w:t>
            </w:r>
            <w:r w:rsidR="003D6E5A">
              <w:rPr>
                <w:sz w:val="22"/>
              </w:rPr>
              <w:t xml:space="preserve">Updated </w:t>
            </w:r>
            <w:r>
              <w:rPr>
                <w:sz w:val="22"/>
              </w:rPr>
              <w:t>disaggregated data indicating students receiving career</w:t>
            </w:r>
            <w:r w:rsidR="005B57B9">
              <w:rPr>
                <w:sz w:val="22"/>
              </w:rPr>
              <w:t>-</w:t>
            </w:r>
            <w:r>
              <w:rPr>
                <w:sz w:val="22"/>
              </w:rPr>
              <w:t>/college</w:t>
            </w:r>
            <w:r w:rsidR="00340F2E">
              <w:rPr>
                <w:sz w:val="22"/>
              </w:rPr>
              <w:t>-</w:t>
            </w:r>
            <w:r>
              <w:rPr>
                <w:sz w:val="22"/>
              </w:rPr>
              <w:t>awareness information</w:t>
            </w:r>
          </w:p>
          <w:p w14:paraId="5B7AB83B" w14:textId="77777777" w:rsidR="006B2BE0" w:rsidRPr="00A80E36" w:rsidRDefault="006B2BE0">
            <w:pPr>
              <w:ind w:left="144" w:hanging="144"/>
              <w:rPr>
                <w:sz w:val="22"/>
              </w:rPr>
            </w:pPr>
            <w:r w:rsidRPr="00080DEB">
              <w:rPr>
                <w:b/>
                <w:i/>
                <w:sz w:val="22"/>
              </w:rPr>
              <w:t>Impact:</w:t>
            </w:r>
            <w:r>
              <w:rPr>
                <w:sz w:val="22"/>
              </w:rPr>
              <w:t xml:space="preserve"> </w:t>
            </w:r>
            <w:r w:rsidR="002123F5">
              <w:rPr>
                <w:sz w:val="22"/>
              </w:rPr>
              <w:t>D</w:t>
            </w:r>
            <w:r>
              <w:rPr>
                <w:sz w:val="22"/>
              </w:rPr>
              <w:t xml:space="preserve">isaggregated participant survey data </w:t>
            </w:r>
            <w:r w:rsidR="002123F5">
              <w:rPr>
                <w:sz w:val="22"/>
              </w:rPr>
              <w:t>each semester</w:t>
            </w:r>
          </w:p>
        </w:tc>
      </w:tr>
      <w:tr w:rsidR="00A80E36" w14:paraId="7824D5F2" w14:textId="77777777" w:rsidTr="00821981">
        <w:trPr>
          <w:cantSplit/>
          <w:trHeight w:val="414"/>
        </w:trPr>
        <w:tc>
          <w:tcPr>
            <w:tcW w:w="2963" w:type="dxa"/>
            <w:shd w:val="clear" w:color="auto" w:fill="EBFFE7"/>
          </w:tcPr>
          <w:p w14:paraId="62343449" w14:textId="77777777" w:rsidR="00A46538" w:rsidRDefault="00A46538" w:rsidP="00A46538">
            <w:pPr>
              <w:ind w:left="432" w:hanging="432"/>
              <w:jc w:val="right"/>
              <w:rPr>
                <w:sz w:val="22"/>
              </w:rPr>
            </w:pPr>
            <w:r w:rsidRPr="00A46538">
              <w:rPr>
                <w:i/>
                <w:sz w:val="12"/>
                <w:bdr w:val="single" w:sz="4" w:space="0" w:color="auto"/>
              </w:rPr>
              <w:t>Support Services</w:t>
            </w:r>
          </w:p>
          <w:p w14:paraId="07C6C3F1" w14:textId="77777777" w:rsidR="00F12A17" w:rsidRDefault="003B2560" w:rsidP="00281654">
            <w:pPr>
              <w:ind w:left="432" w:hanging="432"/>
              <w:rPr>
                <w:sz w:val="22"/>
              </w:rPr>
            </w:pPr>
            <w:r>
              <w:rPr>
                <w:sz w:val="22"/>
              </w:rPr>
              <w:t>17</w:t>
            </w:r>
            <w:r w:rsidR="00A80E36" w:rsidRPr="00A80E36">
              <w:rPr>
                <w:sz w:val="22"/>
              </w:rPr>
              <w:t>. Counseling</w:t>
            </w:r>
            <w:r w:rsidR="00917357">
              <w:rPr>
                <w:sz w:val="22"/>
              </w:rPr>
              <w:t>/</w:t>
            </w:r>
            <w:r w:rsidR="003E5D23">
              <w:rPr>
                <w:sz w:val="22"/>
              </w:rPr>
              <w:t>m</w:t>
            </w:r>
            <w:r w:rsidR="00917357">
              <w:rPr>
                <w:sz w:val="22"/>
              </w:rPr>
              <w:t>entoring</w:t>
            </w:r>
          </w:p>
          <w:p w14:paraId="6F57ABD8" w14:textId="77777777" w:rsidR="00A80E36" w:rsidRPr="00A80E36" w:rsidRDefault="00A80E36" w:rsidP="00F12A17">
            <w:pPr>
              <w:ind w:left="432" w:hanging="432"/>
              <w:jc w:val="right"/>
              <w:rPr>
                <w:sz w:val="22"/>
              </w:rPr>
            </w:pPr>
          </w:p>
        </w:tc>
        <w:tc>
          <w:tcPr>
            <w:tcW w:w="8107" w:type="dxa"/>
            <w:shd w:val="clear" w:color="auto" w:fill="EBFFE7"/>
            <w:tcMar>
              <w:top w:w="43" w:type="dxa"/>
              <w:bottom w:w="43" w:type="dxa"/>
            </w:tcMar>
            <w:vAlign w:val="center"/>
          </w:tcPr>
          <w:p w14:paraId="11687F9F" w14:textId="77777777" w:rsidR="00A97389" w:rsidRDefault="00A80E36" w:rsidP="00C62D2B">
            <w:pPr>
              <w:spacing w:after="100"/>
              <w:ind w:left="144" w:hanging="144"/>
              <w:rPr>
                <w:sz w:val="22"/>
              </w:rPr>
            </w:pPr>
            <w:r w:rsidRPr="00550E6E">
              <w:rPr>
                <w:b/>
                <w:i/>
                <w:sz w:val="22"/>
              </w:rPr>
              <w:t>Implementation:</w:t>
            </w:r>
            <w:r w:rsidR="00C74112">
              <w:rPr>
                <w:sz w:val="22"/>
              </w:rPr>
              <w:t xml:space="preserve"> </w:t>
            </w:r>
            <w:r w:rsidR="003D6E5A">
              <w:rPr>
                <w:sz w:val="22"/>
              </w:rPr>
              <w:t xml:space="preserve">Updated </w:t>
            </w:r>
            <w:r w:rsidR="009921C0">
              <w:rPr>
                <w:sz w:val="22"/>
              </w:rPr>
              <w:t xml:space="preserve">disaggregated </w:t>
            </w:r>
            <w:r w:rsidR="00F8599D">
              <w:rPr>
                <w:sz w:val="22"/>
              </w:rPr>
              <w:t>data indicating</w:t>
            </w:r>
            <w:r w:rsidR="00BF411E">
              <w:rPr>
                <w:sz w:val="22"/>
              </w:rPr>
              <w:t xml:space="preserve"> students receiving counseling</w:t>
            </w:r>
            <w:r w:rsidR="00052477">
              <w:rPr>
                <w:sz w:val="22"/>
              </w:rPr>
              <w:t>/mentoring</w:t>
            </w:r>
            <w:r w:rsidR="00BF411E">
              <w:rPr>
                <w:sz w:val="22"/>
              </w:rPr>
              <w:t xml:space="preserve"> services</w:t>
            </w:r>
          </w:p>
          <w:p w14:paraId="70F4BDDE" w14:textId="77777777" w:rsidR="00A80E36" w:rsidRPr="00A80E36" w:rsidRDefault="00A80E36">
            <w:pPr>
              <w:ind w:left="144" w:hanging="144"/>
              <w:rPr>
                <w:sz w:val="22"/>
              </w:rPr>
            </w:pPr>
            <w:r w:rsidRPr="00550E6E">
              <w:rPr>
                <w:b/>
                <w:i/>
                <w:sz w:val="22"/>
              </w:rPr>
              <w:t>Impact:</w:t>
            </w:r>
            <w:r w:rsidR="00C74112">
              <w:rPr>
                <w:sz w:val="22"/>
              </w:rPr>
              <w:t xml:space="preserve"> </w:t>
            </w:r>
            <w:r w:rsidR="002123F5">
              <w:rPr>
                <w:sz w:val="22"/>
              </w:rPr>
              <w:t>D</w:t>
            </w:r>
            <w:r w:rsidR="00EC7966">
              <w:rPr>
                <w:sz w:val="22"/>
              </w:rPr>
              <w:t xml:space="preserve">isaggregated </w:t>
            </w:r>
            <w:r w:rsidR="005B57B9">
              <w:rPr>
                <w:sz w:val="22"/>
              </w:rPr>
              <w:t>participant</w:t>
            </w:r>
            <w:r w:rsidR="008C12DF">
              <w:rPr>
                <w:sz w:val="22"/>
              </w:rPr>
              <w:t xml:space="preserve"> survey data</w:t>
            </w:r>
            <w:r w:rsidR="002123F5">
              <w:rPr>
                <w:sz w:val="22"/>
              </w:rPr>
              <w:t xml:space="preserve"> each semester</w:t>
            </w:r>
          </w:p>
        </w:tc>
      </w:tr>
      <w:tr w:rsidR="003B2560" w14:paraId="064330E1" w14:textId="77777777" w:rsidTr="00821981">
        <w:trPr>
          <w:cantSplit/>
          <w:trHeight w:val="439"/>
        </w:trPr>
        <w:tc>
          <w:tcPr>
            <w:tcW w:w="2963" w:type="dxa"/>
            <w:shd w:val="clear" w:color="auto" w:fill="EBFFE7"/>
          </w:tcPr>
          <w:p w14:paraId="38309F1F" w14:textId="77777777" w:rsidR="00A46538" w:rsidRDefault="00A46538" w:rsidP="00A46538">
            <w:pPr>
              <w:ind w:left="432" w:hanging="432"/>
              <w:jc w:val="right"/>
              <w:rPr>
                <w:sz w:val="22"/>
              </w:rPr>
            </w:pPr>
            <w:r w:rsidRPr="00A46538">
              <w:rPr>
                <w:i/>
                <w:sz w:val="12"/>
                <w:bdr w:val="single" w:sz="4" w:space="0" w:color="auto"/>
              </w:rPr>
              <w:t>Support Services</w:t>
            </w:r>
          </w:p>
          <w:p w14:paraId="3C554BFE" w14:textId="77777777" w:rsidR="003B2560" w:rsidRPr="00A80E36" w:rsidRDefault="003B2560" w:rsidP="00A46538">
            <w:pPr>
              <w:ind w:left="432" w:hanging="432"/>
              <w:rPr>
                <w:sz w:val="22"/>
              </w:rPr>
            </w:pPr>
            <w:r>
              <w:rPr>
                <w:sz w:val="22"/>
              </w:rPr>
              <w:t>18. School climate that addresses student engagement</w:t>
            </w:r>
          </w:p>
        </w:tc>
        <w:tc>
          <w:tcPr>
            <w:tcW w:w="8107" w:type="dxa"/>
            <w:shd w:val="clear" w:color="auto" w:fill="EBFFE7"/>
            <w:tcMar>
              <w:top w:w="43" w:type="dxa"/>
              <w:bottom w:w="43" w:type="dxa"/>
            </w:tcMar>
            <w:vAlign w:val="center"/>
          </w:tcPr>
          <w:p w14:paraId="2F51200C" w14:textId="77777777" w:rsidR="003B2560" w:rsidRDefault="003B2560" w:rsidP="00C62D2B">
            <w:pPr>
              <w:spacing w:after="100"/>
              <w:ind w:left="144" w:hanging="144"/>
              <w:rPr>
                <w:sz w:val="22"/>
              </w:rPr>
            </w:pPr>
            <w:r w:rsidRPr="00080DEB">
              <w:rPr>
                <w:b/>
                <w:i/>
                <w:sz w:val="22"/>
              </w:rPr>
              <w:t>Implementation:</w:t>
            </w:r>
            <w:r>
              <w:rPr>
                <w:sz w:val="22"/>
              </w:rPr>
              <w:t xml:space="preserve"> </w:t>
            </w:r>
            <w:r w:rsidR="003D6E5A">
              <w:rPr>
                <w:sz w:val="22"/>
              </w:rPr>
              <w:t xml:space="preserve">Updated </w:t>
            </w:r>
            <w:r>
              <w:rPr>
                <w:sz w:val="22"/>
              </w:rPr>
              <w:t>walkthrough data focused on the school-climate components</w:t>
            </w:r>
          </w:p>
          <w:p w14:paraId="56473EDB" w14:textId="77777777" w:rsidR="003B2560" w:rsidRPr="00543F4A" w:rsidRDefault="003B2560">
            <w:pPr>
              <w:ind w:left="144" w:hanging="144"/>
              <w:rPr>
                <w:sz w:val="22"/>
              </w:rPr>
            </w:pPr>
            <w:r w:rsidRPr="00080DEB">
              <w:rPr>
                <w:b/>
                <w:i/>
                <w:sz w:val="22"/>
              </w:rPr>
              <w:t>Impact:</w:t>
            </w:r>
            <w:r>
              <w:rPr>
                <w:sz w:val="22"/>
              </w:rPr>
              <w:t xml:space="preserve"> </w:t>
            </w:r>
            <w:r w:rsidR="002123F5">
              <w:rPr>
                <w:sz w:val="22"/>
              </w:rPr>
              <w:t>D</w:t>
            </w:r>
            <w:r>
              <w:rPr>
                <w:sz w:val="22"/>
              </w:rPr>
              <w:t>isaggregated staff and student school</w:t>
            </w:r>
            <w:r w:rsidR="00340F2E">
              <w:rPr>
                <w:sz w:val="22"/>
              </w:rPr>
              <w:t>-</w:t>
            </w:r>
            <w:r>
              <w:rPr>
                <w:sz w:val="22"/>
              </w:rPr>
              <w:t>climate survey data</w:t>
            </w:r>
            <w:r w:rsidR="002123F5">
              <w:rPr>
                <w:sz w:val="22"/>
              </w:rPr>
              <w:t xml:space="preserve"> each semester</w:t>
            </w:r>
          </w:p>
        </w:tc>
      </w:tr>
      <w:tr w:rsidR="003B2560" w14:paraId="74F27A1F" w14:textId="77777777" w:rsidTr="00821981">
        <w:trPr>
          <w:cantSplit/>
          <w:trHeight w:val="439"/>
        </w:trPr>
        <w:tc>
          <w:tcPr>
            <w:tcW w:w="2963" w:type="dxa"/>
            <w:tcBorders>
              <w:bottom w:val="single" w:sz="4" w:space="0" w:color="000000" w:themeColor="text1"/>
            </w:tcBorders>
            <w:shd w:val="clear" w:color="auto" w:fill="EBFFE7"/>
          </w:tcPr>
          <w:p w14:paraId="5AB6C8A1" w14:textId="77777777" w:rsidR="00A46538" w:rsidRDefault="00A46538" w:rsidP="00A46538">
            <w:pPr>
              <w:ind w:left="432" w:hanging="432"/>
              <w:jc w:val="right"/>
              <w:rPr>
                <w:sz w:val="22"/>
              </w:rPr>
            </w:pPr>
            <w:r w:rsidRPr="00A46538">
              <w:rPr>
                <w:i/>
                <w:sz w:val="12"/>
                <w:bdr w:val="single" w:sz="4" w:space="0" w:color="auto"/>
              </w:rPr>
              <w:t>Support Services</w:t>
            </w:r>
          </w:p>
          <w:p w14:paraId="313BBEBA" w14:textId="77777777" w:rsidR="003B2560" w:rsidRDefault="003B2560" w:rsidP="00281654">
            <w:pPr>
              <w:ind w:left="432" w:hanging="432"/>
              <w:rPr>
                <w:sz w:val="22"/>
              </w:rPr>
            </w:pPr>
            <w:r>
              <w:rPr>
                <w:sz w:val="22"/>
              </w:rPr>
              <w:t>19. Wrap-around social services</w:t>
            </w:r>
          </w:p>
          <w:p w14:paraId="5C10B12C" w14:textId="77777777" w:rsidR="003B2560" w:rsidRPr="00A80E36" w:rsidRDefault="003B2560" w:rsidP="003B2560">
            <w:pPr>
              <w:ind w:left="432" w:hanging="432"/>
              <w:jc w:val="right"/>
              <w:rPr>
                <w:sz w:val="22"/>
              </w:rPr>
            </w:pPr>
          </w:p>
        </w:tc>
        <w:tc>
          <w:tcPr>
            <w:tcW w:w="8107" w:type="dxa"/>
            <w:tcBorders>
              <w:bottom w:val="single" w:sz="4" w:space="0" w:color="000000" w:themeColor="text1"/>
            </w:tcBorders>
            <w:shd w:val="clear" w:color="auto" w:fill="EBFFE7"/>
            <w:tcMar>
              <w:top w:w="43" w:type="dxa"/>
              <w:bottom w:w="43" w:type="dxa"/>
            </w:tcMar>
            <w:vAlign w:val="center"/>
          </w:tcPr>
          <w:p w14:paraId="0769C964" w14:textId="77777777" w:rsidR="003B2560" w:rsidRDefault="003B2560" w:rsidP="00C62D2B">
            <w:pPr>
              <w:spacing w:after="100"/>
              <w:ind w:left="144" w:hanging="144"/>
              <w:rPr>
                <w:sz w:val="22"/>
              </w:rPr>
            </w:pPr>
            <w:r w:rsidRPr="00080DEB">
              <w:rPr>
                <w:b/>
                <w:i/>
                <w:sz w:val="22"/>
              </w:rPr>
              <w:t>Implementation:</w:t>
            </w:r>
            <w:r>
              <w:rPr>
                <w:sz w:val="22"/>
              </w:rPr>
              <w:t xml:space="preserve"> </w:t>
            </w:r>
            <w:r w:rsidR="003D6E5A">
              <w:rPr>
                <w:sz w:val="22"/>
              </w:rPr>
              <w:t xml:space="preserve">Updated </w:t>
            </w:r>
            <w:r>
              <w:rPr>
                <w:sz w:val="22"/>
              </w:rPr>
              <w:t>disaggregated data indicating students receiving social services</w:t>
            </w:r>
          </w:p>
          <w:p w14:paraId="005FC418" w14:textId="77777777" w:rsidR="003B2560" w:rsidRPr="004E4DDF" w:rsidRDefault="003B2560">
            <w:pPr>
              <w:ind w:left="144" w:hanging="144"/>
              <w:rPr>
                <w:sz w:val="22"/>
              </w:rPr>
            </w:pPr>
            <w:r w:rsidRPr="00080DEB">
              <w:rPr>
                <w:b/>
                <w:i/>
                <w:sz w:val="22"/>
              </w:rPr>
              <w:t>Impact:</w:t>
            </w:r>
            <w:r>
              <w:rPr>
                <w:sz w:val="22"/>
              </w:rPr>
              <w:t xml:space="preserve"> </w:t>
            </w:r>
            <w:r w:rsidR="002123F5">
              <w:rPr>
                <w:sz w:val="22"/>
              </w:rPr>
              <w:t>D</w:t>
            </w:r>
            <w:r>
              <w:rPr>
                <w:sz w:val="22"/>
              </w:rPr>
              <w:t xml:space="preserve">isaggregated </w:t>
            </w:r>
            <w:r w:rsidR="002615A7">
              <w:rPr>
                <w:sz w:val="22"/>
              </w:rPr>
              <w:t xml:space="preserve">participant </w:t>
            </w:r>
            <w:r>
              <w:rPr>
                <w:sz w:val="22"/>
              </w:rPr>
              <w:t>survey data</w:t>
            </w:r>
            <w:r w:rsidR="002123F5">
              <w:rPr>
                <w:sz w:val="22"/>
              </w:rPr>
              <w:t xml:space="preserve"> each semester</w:t>
            </w:r>
            <w:r>
              <w:rPr>
                <w:sz w:val="22"/>
              </w:rPr>
              <w:t xml:space="preserve"> </w:t>
            </w:r>
          </w:p>
        </w:tc>
      </w:tr>
      <w:tr w:rsidR="00A80E36" w14:paraId="1F55BED6" w14:textId="77777777" w:rsidTr="00821981">
        <w:trPr>
          <w:cantSplit/>
          <w:trHeight w:val="439"/>
        </w:trPr>
        <w:tc>
          <w:tcPr>
            <w:tcW w:w="2963" w:type="dxa"/>
            <w:shd w:val="clear" w:color="auto" w:fill="FEECFF"/>
          </w:tcPr>
          <w:p w14:paraId="1543FA51" w14:textId="77777777" w:rsidR="00A46538" w:rsidRDefault="00A46538" w:rsidP="00A46538">
            <w:pPr>
              <w:ind w:left="432" w:hanging="432"/>
              <w:jc w:val="right"/>
              <w:rPr>
                <w:sz w:val="22"/>
              </w:rPr>
            </w:pPr>
            <w:r w:rsidRPr="00A46538">
              <w:rPr>
                <w:i/>
                <w:sz w:val="12"/>
                <w:bdr w:val="single" w:sz="4" w:space="0" w:color="auto"/>
              </w:rPr>
              <w:t>Family and Community</w:t>
            </w:r>
          </w:p>
          <w:p w14:paraId="6BE6AB72" w14:textId="77777777" w:rsidR="00EE2203" w:rsidRDefault="00EE2203" w:rsidP="00281654">
            <w:pPr>
              <w:ind w:left="432" w:hanging="432"/>
              <w:rPr>
                <w:sz w:val="22"/>
              </w:rPr>
            </w:pPr>
            <w:r>
              <w:rPr>
                <w:sz w:val="22"/>
              </w:rPr>
              <w:t>20</w:t>
            </w:r>
            <w:r w:rsidR="00A80E36" w:rsidRPr="00A80E36">
              <w:rPr>
                <w:sz w:val="22"/>
              </w:rPr>
              <w:t xml:space="preserve">. </w:t>
            </w:r>
            <w:r w:rsidR="006B2BE0">
              <w:rPr>
                <w:sz w:val="22"/>
              </w:rPr>
              <w:t xml:space="preserve">Family </w:t>
            </w:r>
            <w:r w:rsidR="003E5D23">
              <w:rPr>
                <w:sz w:val="22"/>
              </w:rPr>
              <w:t>and</w:t>
            </w:r>
            <w:r w:rsidR="006B2BE0">
              <w:rPr>
                <w:sz w:val="22"/>
              </w:rPr>
              <w:t xml:space="preserve"> </w:t>
            </w:r>
            <w:r w:rsidR="00966DB5">
              <w:rPr>
                <w:sz w:val="22"/>
              </w:rPr>
              <w:t>c</w:t>
            </w:r>
            <w:r w:rsidR="00A80E36" w:rsidRPr="00A80E36">
              <w:rPr>
                <w:sz w:val="22"/>
              </w:rPr>
              <w:t>ommunity engagement</w:t>
            </w:r>
          </w:p>
          <w:p w14:paraId="0B4C3332" w14:textId="77777777" w:rsidR="00A80E36" w:rsidRPr="00EE2203" w:rsidRDefault="00A80E36" w:rsidP="00EE2203">
            <w:pPr>
              <w:ind w:left="432" w:hanging="432"/>
              <w:jc w:val="right"/>
              <w:rPr>
                <w:i/>
                <w:sz w:val="12"/>
              </w:rPr>
            </w:pPr>
          </w:p>
        </w:tc>
        <w:tc>
          <w:tcPr>
            <w:tcW w:w="8107" w:type="dxa"/>
            <w:shd w:val="clear" w:color="auto" w:fill="FEECFF"/>
            <w:tcMar>
              <w:top w:w="43" w:type="dxa"/>
              <w:bottom w:w="43" w:type="dxa"/>
            </w:tcMar>
            <w:vAlign w:val="center"/>
          </w:tcPr>
          <w:p w14:paraId="0554C588" w14:textId="77777777" w:rsidR="00A97389" w:rsidRDefault="00080DEB" w:rsidP="00C62D2B">
            <w:pPr>
              <w:spacing w:after="100"/>
              <w:ind w:left="144" w:hanging="144"/>
              <w:rPr>
                <w:sz w:val="22"/>
              </w:rPr>
            </w:pPr>
            <w:r w:rsidRPr="00080DEB">
              <w:rPr>
                <w:b/>
                <w:i/>
                <w:sz w:val="22"/>
              </w:rPr>
              <w:t>Implementation:</w:t>
            </w:r>
            <w:r>
              <w:rPr>
                <w:sz w:val="22"/>
              </w:rPr>
              <w:t xml:space="preserve"> </w:t>
            </w:r>
            <w:r w:rsidR="003D6E5A">
              <w:rPr>
                <w:sz w:val="22"/>
              </w:rPr>
              <w:t xml:space="preserve">Updated </w:t>
            </w:r>
            <w:r w:rsidR="00C96D9D">
              <w:rPr>
                <w:sz w:val="22"/>
              </w:rPr>
              <w:t xml:space="preserve">disaggregated data indicating </w:t>
            </w:r>
            <w:r w:rsidR="00EE2203">
              <w:rPr>
                <w:sz w:val="22"/>
              </w:rPr>
              <w:t xml:space="preserve">family and </w:t>
            </w:r>
            <w:r w:rsidR="005A1258">
              <w:rPr>
                <w:sz w:val="22"/>
              </w:rPr>
              <w:t xml:space="preserve">community </w:t>
            </w:r>
            <w:r w:rsidR="00C96D9D">
              <w:rPr>
                <w:sz w:val="22"/>
              </w:rPr>
              <w:t>members engaged in</w:t>
            </w:r>
            <w:r w:rsidR="00EE2203">
              <w:rPr>
                <w:sz w:val="22"/>
              </w:rPr>
              <w:t xml:space="preserve"> </w:t>
            </w:r>
            <w:r w:rsidR="00C225C4">
              <w:rPr>
                <w:sz w:val="22"/>
              </w:rPr>
              <w:t>activities</w:t>
            </w:r>
          </w:p>
          <w:p w14:paraId="202AA702" w14:textId="77777777" w:rsidR="00A80E36" w:rsidRPr="00A80E36" w:rsidRDefault="00080DEB">
            <w:pPr>
              <w:ind w:left="144" w:hanging="144"/>
              <w:rPr>
                <w:sz w:val="22"/>
              </w:rPr>
            </w:pPr>
            <w:r w:rsidRPr="00080DEB">
              <w:rPr>
                <w:b/>
                <w:i/>
                <w:sz w:val="22"/>
              </w:rPr>
              <w:t>Impact:</w:t>
            </w:r>
            <w:r>
              <w:rPr>
                <w:sz w:val="22"/>
              </w:rPr>
              <w:t xml:space="preserve"> </w:t>
            </w:r>
            <w:r w:rsidR="002123F5">
              <w:rPr>
                <w:sz w:val="22"/>
              </w:rPr>
              <w:t xml:space="preserve">Disaggregated </w:t>
            </w:r>
            <w:r w:rsidR="00EE2203">
              <w:rPr>
                <w:sz w:val="22"/>
              </w:rPr>
              <w:t>family and</w:t>
            </w:r>
            <w:r w:rsidR="00A6413A">
              <w:rPr>
                <w:sz w:val="22"/>
              </w:rPr>
              <w:t xml:space="preserve"> </w:t>
            </w:r>
            <w:r w:rsidR="0080135A">
              <w:rPr>
                <w:sz w:val="22"/>
              </w:rPr>
              <w:t xml:space="preserve">community </w:t>
            </w:r>
            <w:r>
              <w:rPr>
                <w:sz w:val="22"/>
              </w:rPr>
              <w:t xml:space="preserve">interview or survey </w:t>
            </w:r>
            <w:r w:rsidR="00522371" w:rsidRPr="00A80E36">
              <w:rPr>
                <w:sz w:val="22"/>
              </w:rPr>
              <w:t xml:space="preserve">data </w:t>
            </w:r>
            <w:r w:rsidR="002123F5">
              <w:rPr>
                <w:sz w:val="22"/>
              </w:rPr>
              <w:t>each semester</w:t>
            </w:r>
          </w:p>
        </w:tc>
      </w:tr>
    </w:tbl>
    <w:p w14:paraId="4F1DE0F3" w14:textId="77777777" w:rsidR="00C62D2B" w:rsidRDefault="00C62D2B" w:rsidP="0072358E">
      <w:pPr>
        <w:ind w:left="-720" w:right="-540"/>
        <w:rPr>
          <w:rFonts w:ascii="Arial" w:hAnsi="Arial" w:cs="Arial"/>
          <w:sz w:val="14"/>
          <w:szCs w:val="16"/>
        </w:rPr>
      </w:pPr>
    </w:p>
    <w:p w14:paraId="3786D9AE" w14:textId="20A8D5D4" w:rsidR="006F38FE" w:rsidRDefault="0072358E" w:rsidP="0072358E">
      <w:pPr>
        <w:ind w:left="-720" w:right="-540"/>
      </w:pPr>
      <w:bookmarkStart w:id="0" w:name="_GoBack"/>
      <w:bookmarkEnd w:id="0"/>
      <w:r w:rsidRPr="00DA0BED">
        <w:rPr>
          <w:rFonts w:ascii="Arial" w:hAnsi="Arial" w:cs="Arial"/>
          <w:sz w:val="14"/>
          <w:szCs w:val="16"/>
        </w:rPr>
        <w:t>Copyright ©201</w:t>
      </w:r>
      <w:r w:rsidR="00CE4120">
        <w:rPr>
          <w:rFonts w:ascii="Arial" w:hAnsi="Arial" w:cs="Arial"/>
          <w:sz w:val="14"/>
          <w:szCs w:val="16"/>
        </w:rPr>
        <w:t>3</w:t>
      </w:r>
      <w:r w:rsidRPr="00DA0BED">
        <w:rPr>
          <w:rFonts w:ascii="Arial" w:hAnsi="Arial" w:cs="Arial"/>
          <w:sz w:val="14"/>
          <w:szCs w:val="16"/>
        </w:rPr>
        <w:t xml:space="preserve"> by SEDL. All rights reserved. No part of this document may be reproduced or transmitted in any form or by any means, electronic or mechanical, including photocopy, recording, or any information storage and retrieval system, without permission in writing from SEDL or by submitting an online copyright request</w:t>
      </w:r>
      <w:r>
        <w:rPr>
          <w:rFonts w:ascii="Arial" w:hAnsi="Arial" w:cs="Arial"/>
          <w:sz w:val="14"/>
          <w:szCs w:val="16"/>
        </w:rPr>
        <w:t xml:space="preserve"> form</w:t>
      </w:r>
      <w:r w:rsidRPr="00DA0BED">
        <w:rPr>
          <w:rFonts w:ascii="Arial" w:hAnsi="Arial" w:cs="Arial"/>
          <w:sz w:val="14"/>
          <w:szCs w:val="16"/>
        </w:rPr>
        <w:t xml:space="preserve"> at </w:t>
      </w:r>
      <w:hyperlink r:id="rId9" w:history="1">
        <w:r w:rsidRPr="00DA0BED">
          <w:rPr>
            <w:rStyle w:val="Hyperlink"/>
            <w:rFonts w:ascii="Arial" w:hAnsi="Arial" w:cs="Arial"/>
            <w:sz w:val="14"/>
            <w:szCs w:val="16"/>
          </w:rPr>
          <w:t>www.sedl.org/about/copyright_ request.html</w:t>
        </w:r>
      </w:hyperlink>
      <w:r>
        <w:rPr>
          <w:rFonts w:ascii="Arial" w:hAnsi="Arial" w:cs="Arial"/>
          <w:sz w:val="14"/>
          <w:szCs w:val="16"/>
        </w:rPr>
        <w:t>.</w:t>
      </w:r>
      <w:r w:rsidRPr="00DA0BED">
        <w:rPr>
          <w:rFonts w:ascii="Arial" w:hAnsi="Arial" w:cs="Arial"/>
          <w:sz w:val="14"/>
          <w:szCs w:val="16"/>
        </w:rPr>
        <w:t xml:space="preserve"> Users may need to secure additional permissions from copyright holders whose work SEDL included after obtaining permission as noted to reproduce or adapt for this document.</w:t>
      </w:r>
    </w:p>
    <w:sectPr w:rsidR="006F38FE" w:rsidSect="00C00399">
      <w:headerReference w:type="even" r:id="rId10"/>
      <w:headerReference w:type="default" r:id="rId11"/>
      <w:footerReference w:type="default" r:id="rId12"/>
      <w:headerReference w:type="first" r:id="rId13"/>
      <w:footerReference w:type="first" r:id="rId14"/>
      <w:pgSz w:w="12240" w:h="15840"/>
      <w:pgMar w:top="1008"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A8CB" w14:textId="77777777" w:rsidR="002123F5" w:rsidRDefault="002123F5">
      <w:r>
        <w:separator/>
      </w:r>
    </w:p>
  </w:endnote>
  <w:endnote w:type="continuationSeparator" w:id="0">
    <w:p w14:paraId="2B895F08" w14:textId="77777777" w:rsidR="002123F5" w:rsidRDefault="0021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FF65" w14:textId="77777777" w:rsidR="002123F5" w:rsidRPr="005B57B9" w:rsidRDefault="002123F5" w:rsidP="00BC0A0B">
    <w:pPr>
      <w:pStyle w:val="Footer"/>
      <w:tabs>
        <w:tab w:val="clear" w:pos="4320"/>
        <w:tab w:val="clear" w:pos="8640"/>
        <w:tab w:val="right" w:pos="9990"/>
      </w:tabs>
      <w:ind w:left="-720"/>
      <w:rPr>
        <w:rFonts w:ascii="Arial" w:hAnsi="Arial" w:cs="Arial"/>
        <w:sz w:val="14"/>
      </w:rPr>
    </w:pPr>
    <w:r>
      <w:rPr>
        <w:rFonts w:ascii="Arial" w:hAnsi="Arial" w:cs="Arial"/>
        <w:sz w:val="14"/>
      </w:rPr>
      <w:t>TEXAS COMPREHENSIVE CENTER at SEDL  |  txcc.sedl.org</w:t>
    </w:r>
    <w:r>
      <w:rPr>
        <w:rFonts w:ascii="Arial" w:hAnsi="Arial" w:cs="Arial"/>
        <w:sz w:val="14"/>
      </w:rPr>
      <w:tab/>
    </w:r>
    <w:r w:rsidR="00B22D0E">
      <w:rPr>
        <w:rStyle w:val="PageNumber"/>
        <w:rFonts w:ascii="Arial" w:hAnsi="Arial" w:cs="Arial"/>
        <w:sz w:val="14"/>
      </w:rPr>
      <w:fldChar w:fldCharType="begin"/>
    </w:r>
    <w:r>
      <w:rPr>
        <w:rStyle w:val="PageNumber"/>
        <w:rFonts w:ascii="Arial" w:hAnsi="Arial" w:cs="Arial"/>
        <w:sz w:val="14"/>
      </w:rPr>
      <w:instrText xml:space="preserve"> PAGE </w:instrText>
    </w:r>
    <w:r w:rsidR="00B22D0E">
      <w:rPr>
        <w:rStyle w:val="PageNumber"/>
        <w:rFonts w:ascii="Arial" w:hAnsi="Arial" w:cs="Arial"/>
        <w:sz w:val="14"/>
      </w:rPr>
      <w:fldChar w:fldCharType="separate"/>
    </w:r>
    <w:r w:rsidR="00C62D2B">
      <w:rPr>
        <w:rStyle w:val="PageNumber"/>
        <w:rFonts w:ascii="Arial" w:hAnsi="Arial" w:cs="Arial"/>
        <w:noProof/>
        <w:sz w:val="14"/>
      </w:rPr>
      <w:t>2</w:t>
    </w:r>
    <w:r w:rsidR="00B22D0E">
      <w:rPr>
        <w:rStyle w:val="PageNumber"/>
        <w:rFonts w:ascii="Arial" w:hAnsi="Arial" w:cs="Arial"/>
        <w:sz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DAD1" w14:textId="77777777" w:rsidR="002123F5" w:rsidRPr="005B57B9" w:rsidRDefault="002123F5" w:rsidP="00BC0A0B">
    <w:pPr>
      <w:pStyle w:val="Footer"/>
      <w:ind w:left="-720"/>
      <w:rPr>
        <w:rFonts w:ascii="Arial" w:hAnsi="Arial" w:cs="Arial"/>
        <w:sz w:val="16"/>
        <w:szCs w:val="16"/>
      </w:rPr>
    </w:pPr>
    <w:r w:rsidRPr="00DD434A">
      <w:rPr>
        <w:rFonts w:ascii="Arial" w:hAnsi="Arial" w:cs="Arial"/>
        <w:sz w:val="16"/>
        <w:szCs w:val="16"/>
      </w:rPr>
      <w:t xml:space="preserve">4700 Mueller Blvd.   Austin, TX 78723   |   800-476-6861   |   www.sedl.org   |   </w:t>
    </w:r>
    <w:r>
      <w:rPr>
        <w:rFonts w:ascii="Arial" w:hAnsi="Arial" w:cs="Arial"/>
        <w:sz w:val="16"/>
        <w:szCs w:val="16"/>
      </w:rPr>
      <w:t>tx</w:t>
    </w:r>
    <w:r w:rsidRPr="00DD434A">
      <w:rPr>
        <w:rFonts w:ascii="Arial" w:hAnsi="Arial" w:cs="Arial"/>
        <w:sz w:val="16"/>
        <w:szCs w:val="16"/>
      </w:rPr>
      <w:t>cc.sedl.org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9BC0E" w14:textId="77777777" w:rsidR="002123F5" w:rsidRDefault="002123F5">
      <w:r>
        <w:separator/>
      </w:r>
    </w:p>
  </w:footnote>
  <w:footnote w:type="continuationSeparator" w:id="0">
    <w:p w14:paraId="56436AD4" w14:textId="77777777" w:rsidR="002123F5" w:rsidRDefault="00212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46F9" w14:textId="77777777" w:rsidR="002123F5" w:rsidRDefault="00B22D0E" w:rsidP="00BD0483">
    <w:pPr>
      <w:pStyle w:val="Header"/>
      <w:framePr w:wrap="around" w:vAnchor="text" w:hAnchor="margin" w:xAlign="right" w:y="1"/>
      <w:rPr>
        <w:rStyle w:val="PageNumber"/>
      </w:rPr>
    </w:pPr>
    <w:r>
      <w:rPr>
        <w:rStyle w:val="PageNumber"/>
      </w:rPr>
      <w:fldChar w:fldCharType="begin"/>
    </w:r>
    <w:r w:rsidR="002123F5">
      <w:rPr>
        <w:rStyle w:val="PageNumber"/>
      </w:rPr>
      <w:instrText xml:space="preserve">PAGE  </w:instrText>
    </w:r>
    <w:r>
      <w:rPr>
        <w:rStyle w:val="PageNumber"/>
      </w:rPr>
      <w:fldChar w:fldCharType="end"/>
    </w:r>
  </w:p>
  <w:p w14:paraId="5B69BE5C" w14:textId="77777777" w:rsidR="002123F5" w:rsidRDefault="002123F5" w:rsidP="00BD04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3CE1" w14:textId="77777777" w:rsidR="002123F5" w:rsidRPr="00647CC3" w:rsidRDefault="002123F5" w:rsidP="00BD0483">
    <w:pPr>
      <w:pStyle w:val="Header"/>
      <w:ind w:left="-630" w:right="360"/>
      <w:rPr>
        <w:b/>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08C4" w14:textId="77777777" w:rsidR="002123F5" w:rsidRPr="00532916" w:rsidRDefault="002123F5" w:rsidP="00BC0A0B">
    <w:pPr>
      <w:pStyle w:val="Header"/>
      <w:tabs>
        <w:tab w:val="clear" w:pos="4320"/>
        <w:tab w:val="clear" w:pos="8640"/>
        <w:tab w:val="right" w:pos="9990"/>
        <w:tab w:val="right" w:pos="12780"/>
      </w:tabs>
      <w:ind w:left="-810" w:right="-720"/>
      <w:rPr>
        <w:rFonts w:ascii="Arial" w:hAnsi="Arial"/>
        <w:sz w:val="22"/>
      </w:rPr>
    </w:pPr>
    <w:r>
      <w:rPr>
        <w:rFonts w:ascii="Arial" w:hAnsi="Arial"/>
        <w:noProof/>
        <w:sz w:val="22"/>
      </w:rPr>
      <w:drawing>
        <wp:inline distT="0" distB="0" distL="0" distR="0" wp14:anchorId="1DBA8D3D" wp14:editId="18C9173B">
          <wp:extent cx="4335145" cy="304800"/>
          <wp:effectExtent l="25400" t="0" r="8255" b="0"/>
          <wp:docPr id="1" name="Picture 1" descr=":::::Public:Share Folder - Shirley Beckwith:TXCC Share:TXCC templates:drag n drop branding: TXCC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hare Folder - Shirley Beckwith:TXCC Share:TXCC templates:drag n drop branding: TXCC header logo.jpg"/>
                  <pic:cNvPicPr>
                    <a:picLocks noChangeAspect="1" noChangeArrowheads="1"/>
                  </pic:cNvPicPr>
                </pic:nvPicPr>
                <pic:blipFill>
                  <a:blip r:embed="rId1"/>
                  <a:srcRect/>
                  <a:stretch>
                    <a:fillRect/>
                  </a:stretch>
                </pic:blipFill>
                <pic:spPr bwMode="auto">
                  <a:xfrm>
                    <a:off x="0" y="0"/>
                    <a:ext cx="4335145" cy="304800"/>
                  </a:xfrm>
                  <a:prstGeom prst="rect">
                    <a:avLst/>
                  </a:prstGeom>
                  <a:noFill/>
                  <a:ln w="9525">
                    <a:noFill/>
                    <a:miter lim="800000"/>
                    <a:headEnd/>
                    <a:tailEnd/>
                  </a:ln>
                </pic:spPr>
              </pic:pic>
            </a:graphicData>
          </a:graphic>
        </wp:inline>
      </w:drawing>
    </w:r>
  </w:p>
  <w:p w14:paraId="08342BD6" w14:textId="77777777" w:rsidR="002123F5" w:rsidRDefault="002123F5" w:rsidP="00F27A19">
    <w:pPr>
      <w:pStyle w:val="Header"/>
      <w:tabs>
        <w:tab w:val="clear" w:pos="4320"/>
      </w:tabs>
      <w:ind w:left="-630" w:right="-810"/>
      <w:jc w:val="center"/>
      <w:rPr>
        <w:rFonts w:ascii="Arial" w:hAnsi="Arial"/>
        <w:b/>
        <w:sz w:val="28"/>
      </w:rPr>
    </w:pPr>
    <w:r>
      <w:rPr>
        <w:rFonts w:ascii="Arial" w:hAnsi="Arial"/>
        <w:b/>
        <w:sz w:val="28"/>
      </w:rPr>
      <w:t xml:space="preserve">Examples of Dropout Prevention Interventions </w:t>
    </w:r>
  </w:p>
  <w:p w14:paraId="5482620B" w14:textId="77777777" w:rsidR="002123F5" w:rsidRDefault="002123F5" w:rsidP="00F27A19">
    <w:pPr>
      <w:pStyle w:val="Header"/>
      <w:tabs>
        <w:tab w:val="clear" w:pos="4320"/>
      </w:tabs>
      <w:ind w:left="-630" w:right="-810"/>
      <w:jc w:val="center"/>
      <w:rPr>
        <w:rFonts w:ascii="Arial" w:hAnsi="Arial"/>
        <w:b/>
        <w:sz w:val="28"/>
      </w:rPr>
    </w:pPr>
    <w:r>
      <w:rPr>
        <w:rFonts w:ascii="Arial" w:hAnsi="Arial"/>
        <w:b/>
        <w:sz w:val="28"/>
      </w:rPr>
      <w:t>with Possible Verifying Actions</w:t>
    </w:r>
  </w:p>
  <w:p w14:paraId="28F82DC5" w14:textId="77777777" w:rsidR="002123F5" w:rsidRPr="00532916" w:rsidRDefault="002123F5" w:rsidP="00532916">
    <w:pPr>
      <w:pStyle w:val="Header"/>
      <w:tabs>
        <w:tab w:val="clear" w:pos="4320"/>
      </w:tabs>
      <w:ind w:left="-630" w:right="360"/>
      <w:jc w:val="center"/>
      <w:rPr>
        <w:rFonts w:ascii="Arial" w:hAnsi="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7C6"/>
    <w:multiLevelType w:val="hybridMultilevel"/>
    <w:tmpl w:val="A0E6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308FB"/>
    <w:multiLevelType w:val="hybridMultilevel"/>
    <w:tmpl w:val="6E62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F38FE"/>
    <w:rsid w:val="00003462"/>
    <w:rsid w:val="00006A06"/>
    <w:rsid w:val="00020999"/>
    <w:rsid w:val="00024537"/>
    <w:rsid w:val="00052477"/>
    <w:rsid w:val="00062044"/>
    <w:rsid w:val="00063CAF"/>
    <w:rsid w:val="00080DEB"/>
    <w:rsid w:val="00095CAB"/>
    <w:rsid w:val="000D7456"/>
    <w:rsid w:val="000E6EDF"/>
    <w:rsid w:val="000F7336"/>
    <w:rsid w:val="00155131"/>
    <w:rsid w:val="001859CF"/>
    <w:rsid w:val="001928B9"/>
    <w:rsid w:val="00197F5B"/>
    <w:rsid w:val="001A15BD"/>
    <w:rsid w:val="001B6688"/>
    <w:rsid w:val="001E2FB2"/>
    <w:rsid w:val="00200C25"/>
    <w:rsid w:val="002123F5"/>
    <w:rsid w:val="0022125D"/>
    <w:rsid w:val="00233C7A"/>
    <w:rsid w:val="00257B06"/>
    <w:rsid w:val="00260A44"/>
    <w:rsid w:val="002615A7"/>
    <w:rsid w:val="00281654"/>
    <w:rsid w:val="002821AE"/>
    <w:rsid w:val="002A0717"/>
    <w:rsid w:val="002A0B54"/>
    <w:rsid w:val="002A68DB"/>
    <w:rsid w:val="002D3A62"/>
    <w:rsid w:val="002D7B61"/>
    <w:rsid w:val="00340F2E"/>
    <w:rsid w:val="00357494"/>
    <w:rsid w:val="00365ACC"/>
    <w:rsid w:val="00390B6B"/>
    <w:rsid w:val="003A75E2"/>
    <w:rsid w:val="003B133D"/>
    <w:rsid w:val="003B2560"/>
    <w:rsid w:val="003D6E5A"/>
    <w:rsid w:val="003E5D23"/>
    <w:rsid w:val="003F0101"/>
    <w:rsid w:val="00417433"/>
    <w:rsid w:val="004214D1"/>
    <w:rsid w:val="00422E08"/>
    <w:rsid w:val="00470749"/>
    <w:rsid w:val="00470B03"/>
    <w:rsid w:val="0049220F"/>
    <w:rsid w:val="004A5BCD"/>
    <w:rsid w:val="004E3BEC"/>
    <w:rsid w:val="004E4DDF"/>
    <w:rsid w:val="005108B2"/>
    <w:rsid w:val="00522371"/>
    <w:rsid w:val="0052575E"/>
    <w:rsid w:val="00526456"/>
    <w:rsid w:val="00532916"/>
    <w:rsid w:val="00543F4A"/>
    <w:rsid w:val="00545B8B"/>
    <w:rsid w:val="00550E6E"/>
    <w:rsid w:val="00556271"/>
    <w:rsid w:val="0058002A"/>
    <w:rsid w:val="00590F60"/>
    <w:rsid w:val="005A1258"/>
    <w:rsid w:val="005A66DC"/>
    <w:rsid w:val="005A6980"/>
    <w:rsid w:val="005B47FC"/>
    <w:rsid w:val="005B57B9"/>
    <w:rsid w:val="005C01A7"/>
    <w:rsid w:val="005E4A67"/>
    <w:rsid w:val="005F38DD"/>
    <w:rsid w:val="00602884"/>
    <w:rsid w:val="0061708A"/>
    <w:rsid w:val="00617D66"/>
    <w:rsid w:val="00623AC2"/>
    <w:rsid w:val="00647CC3"/>
    <w:rsid w:val="00657E98"/>
    <w:rsid w:val="00661560"/>
    <w:rsid w:val="00666605"/>
    <w:rsid w:val="0066751F"/>
    <w:rsid w:val="00694A82"/>
    <w:rsid w:val="006A0045"/>
    <w:rsid w:val="006B2BE0"/>
    <w:rsid w:val="006C4A92"/>
    <w:rsid w:val="006C73D8"/>
    <w:rsid w:val="006D4162"/>
    <w:rsid w:val="006E030A"/>
    <w:rsid w:val="006F29B4"/>
    <w:rsid w:val="006F38FE"/>
    <w:rsid w:val="00702800"/>
    <w:rsid w:val="00721765"/>
    <w:rsid w:val="007227B5"/>
    <w:rsid w:val="0072358E"/>
    <w:rsid w:val="007301CE"/>
    <w:rsid w:val="007453F5"/>
    <w:rsid w:val="00745A4D"/>
    <w:rsid w:val="007A312B"/>
    <w:rsid w:val="007A63EB"/>
    <w:rsid w:val="007C573E"/>
    <w:rsid w:val="0080135A"/>
    <w:rsid w:val="0080735F"/>
    <w:rsid w:val="00821981"/>
    <w:rsid w:val="00835883"/>
    <w:rsid w:val="00840519"/>
    <w:rsid w:val="00843564"/>
    <w:rsid w:val="00850701"/>
    <w:rsid w:val="00851B2A"/>
    <w:rsid w:val="008540EB"/>
    <w:rsid w:val="008567D2"/>
    <w:rsid w:val="00867EA1"/>
    <w:rsid w:val="00877D18"/>
    <w:rsid w:val="00884E95"/>
    <w:rsid w:val="00890BAB"/>
    <w:rsid w:val="008A01C6"/>
    <w:rsid w:val="008B115D"/>
    <w:rsid w:val="008B7375"/>
    <w:rsid w:val="008C12DF"/>
    <w:rsid w:val="008D7113"/>
    <w:rsid w:val="009067F7"/>
    <w:rsid w:val="00917357"/>
    <w:rsid w:val="0094498A"/>
    <w:rsid w:val="00945F0E"/>
    <w:rsid w:val="009471E1"/>
    <w:rsid w:val="00966DB5"/>
    <w:rsid w:val="00981AE1"/>
    <w:rsid w:val="009921C0"/>
    <w:rsid w:val="009A3C57"/>
    <w:rsid w:val="009B38B8"/>
    <w:rsid w:val="009E2509"/>
    <w:rsid w:val="00A148BE"/>
    <w:rsid w:val="00A20D48"/>
    <w:rsid w:val="00A24B20"/>
    <w:rsid w:val="00A32B09"/>
    <w:rsid w:val="00A46538"/>
    <w:rsid w:val="00A6413A"/>
    <w:rsid w:val="00A74EF8"/>
    <w:rsid w:val="00A80E36"/>
    <w:rsid w:val="00A83F71"/>
    <w:rsid w:val="00A97389"/>
    <w:rsid w:val="00AB5C01"/>
    <w:rsid w:val="00AB7DC4"/>
    <w:rsid w:val="00AD5578"/>
    <w:rsid w:val="00AF1843"/>
    <w:rsid w:val="00B0000D"/>
    <w:rsid w:val="00B04EDA"/>
    <w:rsid w:val="00B10B28"/>
    <w:rsid w:val="00B22D0E"/>
    <w:rsid w:val="00B5442E"/>
    <w:rsid w:val="00B651F8"/>
    <w:rsid w:val="00B654E0"/>
    <w:rsid w:val="00B65EF4"/>
    <w:rsid w:val="00B75C8E"/>
    <w:rsid w:val="00B8282B"/>
    <w:rsid w:val="00BA5380"/>
    <w:rsid w:val="00BC0A0B"/>
    <w:rsid w:val="00BD0483"/>
    <w:rsid w:val="00BF411E"/>
    <w:rsid w:val="00BF5629"/>
    <w:rsid w:val="00C00399"/>
    <w:rsid w:val="00C03732"/>
    <w:rsid w:val="00C128F2"/>
    <w:rsid w:val="00C221EE"/>
    <w:rsid w:val="00C225C4"/>
    <w:rsid w:val="00C329EC"/>
    <w:rsid w:val="00C60262"/>
    <w:rsid w:val="00C62D2B"/>
    <w:rsid w:val="00C74112"/>
    <w:rsid w:val="00C749BF"/>
    <w:rsid w:val="00C7527D"/>
    <w:rsid w:val="00C758B2"/>
    <w:rsid w:val="00C83590"/>
    <w:rsid w:val="00C87D64"/>
    <w:rsid w:val="00C96D9D"/>
    <w:rsid w:val="00CC05BD"/>
    <w:rsid w:val="00CE4120"/>
    <w:rsid w:val="00CF4F87"/>
    <w:rsid w:val="00CF59D3"/>
    <w:rsid w:val="00CF7528"/>
    <w:rsid w:val="00D111DB"/>
    <w:rsid w:val="00D37E3A"/>
    <w:rsid w:val="00D656C1"/>
    <w:rsid w:val="00D73E27"/>
    <w:rsid w:val="00D86815"/>
    <w:rsid w:val="00DA2477"/>
    <w:rsid w:val="00DC5944"/>
    <w:rsid w:val="00DC6FB3"/>
    <w:rsid w:val="00DF05B1"/>
    <w:rsid w:val="00DF1694"/>
    <w:rsid w:val="00DF652C"/>
    <w:rsid w:val="00E24F35"/>
    <w:rsid w:val="00E47E13"/>
    <w:rsid w:val="00E62D06"/>
    <w:rsid w:val="00EA4DA8"/>
    <w:rsid w:val="00EB047A"/>
    <w:rsid w:val="00EB1AF0"/>
    <w:rsid w:val="00EB2D85"/>
    <w:rsid w:val="00EC76E1"/>
    <w:rsid w:val="00EC7966"/>
    <w:rsid w:val="00ED222F"/>
    <w:rsid w:val="00EE2203"/>
    <w:rsid w:val="00EF49F3"/>
    <w:rsid w:val="00F05217"/>
    <w:rsid w:val="00F07F2E"/>
    <w:rsid w:val="00F12A17"/>
    <w:rsid w:val="00F14025"/>
    <w:rsid w:val="00F27A19"/>
    <w:rsid w:val="00F35A7F"/>
    <w:rsid w:val="00F35A88"/>
    <w:rsid w:val="00F429F4"/>
    <w:rsid w:val="00F57317"/>
    <w:rsid w:val="00F60924"/>
    <w:rsid w:val="00F8599D"/>
    <w:rsid w:val="00F96F69"/>
    <w:rsid w:val="00FA31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DCC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C5"/>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8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38FE"/>
    <w:pPr>
      <w:tabs>
        <w:tab w:val="center" w:pos="4320"/>
        <w:tab w:val="right" w:pos="8640"/>
      </w:tabs>
    </w:pPr>
  </w:style>
  <w:style w:type="character" w:customStyle="1" w:styleId="HeaderChar">
    <w:name w:val="Header Char"/>
    <w:basedOn w:val="DefaultParagraphFont"/>
    <w:link w:val="Header"/>
    <w:uiPriority w:val="99"/>
    <w:rsid w:val="006F38FE"/>
    <w:rPr>
      <w:rFonts w:ascii="Helvetica" w:hAnsi="Helvetica"/>
      <w:sz w:val="24"/>
    </w:rPr>
  </w:style>
  <w:style w:type="paragraph" w:styleId="Footer">
    <w:name w:val="footer"/>
    <w:basedOn w:val="Normal"/>
    <w:link w:val="FooterChar"/>
    <w:uiPriority w:val="99"/>
    <w:unhideWhenUsed/>
    <w:rsid w:val="006F38FE"/>
    <w:pPr>
      <w:tabs>
        <w:tab w:val="center" w:pos="4320"/>
        <w:tab w:val="right" w:pos="8640"/>
      </w:tabs>
    </w:pPr>
  </w:style>
  <w:style w:type="character" w:customStyle="1" w:styleId="FooterChar">
    <w:name w:val="Footer Char"/>
    <w:basedOn w:val="DefaultParagraphFont"/>
    <w:link w:val="Footer"/>
    <w:uiPriority w:val="99"/>
    <w:rsid w:val="006F38FE"/>
    <w:rPr>
      <w:rFonts w:ascii="Helvetica" w:hAnsi="Helvetica"/>
      <w:sz w:val="24"/>
    </w:rPr>
  </w:style>
  <w:style w:type="paragraph" w:styleId="ListParagraph">
    <w:name w:val="List Paragraph"/>
    <w:basedOn w:val="Normal"/>
    <w:uiPriority w:val="34"/>
    <w:qFormat/>
    <w:rsid w:val="00AB7DC4"/>
    <w:pPr>
      <w:ind w:left="720"/>
      <w:contextualSpacing/>
    </w:pPr>
  </w:style>
  <w:style w:type="paragraph" w:styleId="BalloonText">
    <w:name w:val="Balloon Text"/>
    <w:basedOn w:val="Normal"/>
    <w:link w:val="BalloonTextChar"/>
    <w:uiPriority w:val="99"/>
    <w:semiHidden/>
    <w:unhideWhenUsed/>
    <w:rsid w:val="006C73D8"/>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3D8"/>
    <w:rPr>
      <w:rFonts w:ascii="Lucida Grande" w:hAnsi="Lucida Grande"/>
      <w:sz w:val="18"/>
      <w:szCs w:val="18"/>
    </w:rPr>
  </w:style>
  <w:style w:type="character" w:styleId="PageNumber">
    <w:name w:val="page number"/>
    <w:basedOn w:val="DefaultParagraphFont"/>
    <w:uiPriority w:val="99"/>
    <w:unhideWhenUsed/>
    <w:rsid w:val="00BD0483"/>
  </w:style>
  <w:style w:type="paragraph" w:styleId="EndnoteText">
    <w:name w:val="endnote text"/>
    <w:basedOn w:val="Normal"/>
    <w:link w:val="EndnoteTextChar"/>
    <w:uiPriority w:val="99"/>
    <w:semiHidden/>
    <w:unhideWhenUsed/>
    <w:rsid w:val="00F8599D"/>
    <w:rPr>
      <w:szCs w:val="24"/>
    </w:rPr>
  </w:style>
  <w:style w:type="character" w:customStyle="1" w:styleId="EndnoteTextChar">
    <w:name w:val="Endnote Text Char"/>
    <w:basedOn w:val="DefaultParagraphFont"/>
    <w:link w:val="EndnoteText"/>
    <w:uiPriority w:val="99"/>
    <w:semiHidden/>
    <w:rsid w:val="00F8599D"/>
    <w:rPr>
      <w:rFonts w:ascii="Helvetica" w:hAnsi="Helvetica"/>
      <w:sz w:val="24"/>
      <w:szCs w:val="24"/>
    </w:rPr>
  </w:style>
  <w:style w:type="character" w:styleId="EndnoteReference">
    <w:name w:val="endnote reference"/>
    <w:basedOn w:val="DefaultParagraphFont"/>
    <w:uiPriority w:val="99"/>
    <w:semiHidden/>
    <w:unhideWhenUsed/>
    <w:rsid w:val="00F8599D"/>
    <w:rPr>
      <w:vertAlign w:val="superscript"/>
    </w:rPr>
  </w:style>
  <w:style w:type="character" w:styleId="CommentReference">
    <w:name w:val="annotation reference"/>
    <w:basedOn w:val="DefaultParagraphFont"/>
    <w:uiPriority w:val="99"/>
    <w:semiHidden/>
    <w:unhideWhenUsed/>
    <w:rsid w:val="0052575E"/>
    <w:rPr>
      <w:sz w:val="18"/>
      <w:szCs w:val="18"/>
    </w:rPr>
  </w:style>
  <w:style w:type="paragraph" w:styleId="CommentText">
    <w:name w:val="annotation text"/>
    <w:basedOn w:val="Normal"/>
    <w:link w:val="CommentTextChar"/>
    <w:uiPriority w:val="99"/>
    <w:semiHidden/>
    <w:unhideWhenUsed/>
    <w:rsid w:val="0052575E"/>
    <w:rPr>
      <w:szCs w:val="24"/>
    </w:rPr>
  </w:style>
  <w:style w:type="character" w:customStyle="1" w:styleId="CommentTextChar">
    <w:name w:val="Comment Text Char"/>
    <w:basedOn w:val="DefaultParagraphFont"/>
    <w:link w:val="CommentText"/>
    <w:uiPriority w:val="99"/>
    <w:semiHidden/>
    <w:rsid w:val="0052575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52575E"/>
    <w:rPr>
      <w:b/>
      <w:bCs/>
      <w:sz w:val="20"/>
      <w:szCs w:val="20"/>
    </w:rPr>
  </w:style>
  <w:style w:type="character" w:customStyle="1" w:styleId="CommentSubjectChar">
    <w:name w:val="Comment Subject Char"/>
    <w:basedOn w:val="CommentTextChar"/>
    <w:link w:val="CommentSubject"/>
    <w:uiPriority w:val="99"/>
    <w:semiHidden/>
    <w:rsid w:val="0052575E"/>
    <w:rPr>
      <w:rFonts w:ascii="Helvetica" w:hAnsi="Helvetica"/>
      <w:b/>
      <w:bCs/>
      <w:sz w:val="24"/>
      <w:szCs w:val="24"/>
    </w:rPr>
  </w:style>
  <w:style w:type="character" w:styleId="Hyperlink">
    <w:name w:val="Hyperlink"/>
    <w:uiPriority w:val="99"/>
    <w:rsid w:val="007235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C5"/>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8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38FE"/>
    <w:pPr>
      <w:tabs>
        <w:tab w:val="center" w:pos="4320"/>
        <w:tab w:val="right" w:pos="8640"/>
      </w:tabs>
    </w:pPr>
  </w:style>
  <w:style w:type="character" w:customStyle="1" w:styleId="HeaderChar">
    <w:name w:val="Header Char"/>
    <w:basedOn w:val="DefaultParagraphFont"/>
    <w:link w:val="Header"/>
    <w:uiPriority w:val="99"/>
    <w:rsid w:val="006F38FE"/>
    <w:rPr>
      <w:rFonts w:ascii="Helvetica" w:hAnsi="Helvetica"/>
      <w:sz w:val="24"/>
    </w:rPr>
  </w:style>
  <w:style w:type="paragraph" w:styleId="Footer">
    <w:name w:val="footer"/>
    <w:basedOn w:val="Normal"/>
    <w:link w:val="FooterChar"/>
    <w:uiPriority w:val="99"/>
    <w:unhideWhenUsed/>
    <w:rsid w:val="006F38FE"/>
    <w:pPr>
      <w:tabs>
        <w:tab w:val="center" w:pos="4320"/>
        <w:tab w:val="right" w:pos="8640"/>
      </w:tabs>
    </w:pPr>
  </w:style>
  <w:style w:type="character" w:customStyle="1" w:styleId="FooterChar">
    <w:name w:val="Footer Char"/>
    <w:basedOn w:val="DefaultParagraphFont"/>
    <w:link w:val="Footer"/>
    <w:uiPriority w:val="99"/>
    <w:rsid w:val="006F38FE"/>
    <w:rPr>
      <w:rFonts w:ascii="Helvetica" w:hAnsi="Helvetica"/>
      <w:sz w:val="24"/>
    </w:rPr>
  </w:style>
  <w:style w:type="paragraph" w:styleId="ListParagraph">
    <w:name w:val="List Paragraph"/>
    <w:basedOn w:val="Normal"/>
    <w:uiPriority w:val="34"/>
    <w:qFormat/>
    <w:rsid w:val="00AB7DC4"/>
    <w:pPr>
      <w:ind w:left="720"/>
      <w:contextualSpacing/>
    </w:pPr>
  </w:style>
  <w:style w:type="paragraph" w:styleId="BalloonText">
    <w:name w:val="Balloon Text"/>
    <w:basedOn w:val="Normal"/>
    <w:link w:val="BalloonTextChar"/>
    <w:uiPriority w:val="99"/>
    <w:semiHidden/>
    <w:unhideWhenUsed/>
    <w:rsid w:val="006C73D8"/>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3D8"/>
    <w:rPr>
      <w:rFonts w:ascii="Lucida Grande" w:hAnsi="Lucida Grande"/>
      <w:sz w:val="18"/>
      <w:szCs w:val="18"/>
    </w:rPr>
  </w:style>
  <w:style w:type="character" w:styleId="PageNumber">
    <w:name w:val="page number"/>
    <w:basedOn w:val="DefaultParagraphFont"/>
    <w:uiPriority w:val="99"/>
    <w:unhideWhenUsed/>
    <w:rsid w:val="00BD0483"/>
  </w:style>
  <w:style w:type="paragraph" w:styleId="EndnoteText">
    <w:name w:val="endnote text"/>
    <w:basedOn w:val="Normal"/>
    <w:link w:val="EndnoteTextChar"/>
    <w:uiPriority w:val="99"/>
    <w:semiHidden/>
    <w:unhideWhenUsed/>
    <w:rsid w:val="00F8599D"/>
    <w:rPr>
      <w:szCs w:val="24"/>
    </w:rPr>
  </w:style>
  <w:style w:type="character" w:customStyle="1" w:styleId="EndnoteTextChar">
    <w:name w:val="Endnote Text Char"/>
    <w:basedOn w:val="DefaultParagraphFont"/>
    <w:link w:val="EndnoteText"/>
    <w:uiPriority w:val="99"/>
    <w:semiHidden/>
    <w:rsid w:val="00F8599D"/>
    <w:rPr>
      <w:rFonts w:ascii="Helvetica" w:hAnsi="Helvetica"/>
      <w:sz w:val="24"/>
      <w:szCs w:val="24"/>
    </w:rPr>
  </w:style>
  <w:style w:type="character" w:styleId="EndnoteReference">
    <w:name w:val="endnote reference"/>
    <w:basedOn w:val="DefaultParagraphFont"/>
    <w:uiPriority w:val="99"/>
    <w:semiHidden/>
    <w:unhideWhenUsed/>
    <w:rsid w:val="00F8599D"/>
    <w:rPr>
      <w:vertAlign w:val="superscript"/>
    </w:rPr>
  </w:style>
  <w:style w:type="character" w:styleId="CommentReference">
    <w:name w:val="annotation reference"/>
    <w:basedOn w:val="DefaultParagraphFont"/>
    <w:uiPriority w:val="99"/>
    <w:semiHidden/>
    <w:unhideWhenUsed/>
    <w:rsid w:val="0052575E"/>
    <w:rPr>
      <w:sz w:val="18"/>
      <w:szCs w:val="18"/>
    </w:rPr>
  </w:style>
  <w:style w:type="paragraph" w:styleId="CommentText">
    <w:name w:val="annotation text"/>
    <w:basedOn w:val="Normal"/>
    <w:link w:val="CommentTextChar"/>
    <w:uiPriority w:val="99"/>
    <w:semiHidden/>
    <w:unhideWhenUsed/>
    <w:rsid w:val="0052575E"/>
    <w:rPr>
      <w:szCs w:val="24"/>
    </w:rPr>
  </w:style>
  <w:style w:type="character" w:customStyle="1" w:styleId="CommentTextChar">
    <w:name w:val="Comment Text Char"/>
    <w:basedOn w:val="DefaultParagraphFont"/>
    <w:link w:val="CommentText"/>
    <w:uiPriority w:val="99"/>
    <w:semiHidden/>
    <w:rsid w:val="0052575E"/>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52575E"/>
    <w:rPr>
      <w:b/>
      <w:bCs/>
      <w:sz w:val="20"/>
      <w:szCs w:val="20"/>
    </w:rPr>
  </w:style>
  <w:style w:type="character" w:customStyle="1" w:styleId="CommentSubjectChar">
    <w:name w:val="Comment Subject Char"/>
    <w:basedOn w:val="CommentTextChar"/>
    <w:link w:val="CommentSubject"/>
    <w:uiPriority w:val="99"/>
    <w:semiHidden/>
    <w:rsid w:val="0052575E"/>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dl.org/about/copyright_%20request.html"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78A7-B17D-DF42-BD6F-0A6165D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810</Words>
  <Characters>4623</Characters>
  <Application>Microsoft Macintosh Word</Application>
  <DocSecurity>0</DocSecurity>
  <Lines>38</Lines>
  <Paragraphs>10</Paragraphs>
  <ScaleCrop>false</ScaleCrop>
  <Company>SEDL</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Neeley</dc:creator>
  <cp:keywords/>
  <cp:lastModifiedBy>Shirley Beckwith</cp:lastModifiedBy>
  <cp:revision>10</cp:revision>
  <cp:lastPrinted>2011-09-15T01:46:00Z</cp:lastPrinted>
  <dcterms:created xsi:type="dcterms:W3CDTF">2011-09-15T19:34:00Z</dcterms:created>
  <dcterms:modified xsi:type="dcterms:W3CDTF">2013-10-28T17:11:00Z</dcterms:modified>
</cp:coreProperties>
</file>